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199">
        <w:rPr>
          <w:sz w:val="26"/>
          <w:szCs w:val="26"/>
        </w:rPr>
        <w:t xml:space="preserve">                             </w:t>
      </w:r>
    </w:p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 xml:space="preserve">АДМИНИСТРАЦИЯ УСТЬ-КУБИНСКОГО 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>МУНИЦИПАЛЬНОГО ОКРУГА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b/>
          <w:sz w:val="26"/>
          <w:szCs w:val="26"/>
        </w:rPr>
        <w:t>ПОСТАНОВЛЕНИЕ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sz w:val="26"/>
          <w:szCs w:val="26"/>
        </w:rPr>
        <w:t>с. Устье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E52652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т </w:t>
      </w:r>
      <w:r w:rsidR="003D163C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13.11.2024                                                                                                          № 1885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</w:t>
      </w:r>
    </w:p>
    <w:p w:rsidR="00AF2199" w:rsidRPr="00AF2199" w:rsidRDefault="00AF2199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ab/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bookmarkStart w:id="0" w:name="_GoBack"/>
      <w:bookmarkEnd w:id="0"/>
      <w:proofErr w:type="spellEnd"/>
    </w:p>
    <w:p w:rsidR="00AF2199" w:rsidRPr="00AF2199" w:rsidRDefault="00AF2199" w:rsidP="00AF2199">
      <w:pPr>
        <w:widowControl w:val="0"/>
        <w:tabs>
          <w:tab w:val="left" w:pos="9712"/>
        </w:tabs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AF2199" w:rsidRDefault="00AF2199" w:rsidP="00AF2199">
      <w:pPr>
        <w:widowControl w:val="0"/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 w:rsidR="006F76A6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           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</w:t>
      </w:r>
      <w:proofErr w:type="spellEnd"/>
      <w:r w:rsidR="006F76A6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ем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»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, ст. 42 Устава округа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а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дминистрация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widowControl w:val="0"/>
        <w:jc w:val="both"/>
        <w:textAlignment w:val="baseline"/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  <w:t>ПОСТАНОВЛЯЕТ: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1.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согласно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приложению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 к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0319DE" w:rsidRPr="00F47144" w:rsidRDefault="000319DE" w:rsidP="000319DE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опубликования, но не ранее 1 января 2025 года и подлежит размещению на официальном сайте округа в информационно-телекоммуникационной сети «Интернет».</w:t>
      </w:r>
      <w:r>
        <w:rPr>
          <w:sz w:val="26"/>
          <w:szCs w:val="26"/>
          <w:lang w:val="de-DE"/>
        </w:rPr>
        <w:tab/>
      </w:r>
    </w:p>
    <w:p w:rsidR="00AF2199" w:rsidRPr="000319DE" w:rsidRDefault="00AF2199" w:rsidP="00AF2199">
      <w:pPr>
        <w:suppressAutoHyphens w:val="0"/>
        <w:snapToGrid w:val="0"/>
        <w:ind w:firstLine="709"/>
        <w:jc w:val="both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Глава округа                                                                                                          И.В. Быков</w:t>
      </w: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3D163C" w:rsidRPr="003D163C" w:rsidRDefault="003D163C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УТВЕРЖДЕНА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471545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округа  от </w:t>
      </w:r>
      <w:r w:rsidR="003D163C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13.11.2024 № 1885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</w:p>
    <w:p w:rsidR="00AF2199" w:rsidRPr="00AF2199" w:rsidRDefault="00471545" w:rsidP="00AF2199">
      <w:pPr>
        <w:suppressAutoHyphens w:val="0"/>
        <w:ind w:left="5387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(приложение)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</w:t>
      </w: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</w:pPr>
      <w:bookmarkStart w:id="1" w:name="bookmark0"/>
      <w:bookmarkEnd w:id="1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2025 год</w:t>
      </w:r>
    </w:p>
    <w:p w:rsidR="00AF2199" w:rsidRPr="00AF2199" w:rsidRDefault="00AF2199" w:rsidP="00AF2199">
      <w:pPr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shd w:val="clear" w:color="auto" w:fill="FFFFFF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1.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Анализ текущего состояния осуществления вида контроля, описание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текущего развития профилактической деятельности контрольного (надзорного)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органа, характеристика проблем, на решение которых направлена программа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>профилактики рисков причинения вреда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 разработана  в целях реализации положений:</w:t>
      </w:r>
    </w:p>
    <w:p w:rsidR="00AF2199" w:rsidRPr="00AF2199" w:rsidRDefault="007875C9" w:rsidP="00AF2199">
      <w:pPr>
        <w:widowControl w:val="0"/>
        <w:ind w:firstLine="709"/>
        <w:jc w:val="both"/>
        <w:textAlignment w:val="baseline"/>
      </w:pPr>
      <w:hyperlink r:id="rId8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 xml:space="preserve">статьи 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44 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льного закона от 31 июля 2020 года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                                      «О государственном контроле (надзоре) и муниципальном контроле в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постановления Правительства Российской Федерации от 25 июня 2021 г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Региональный государственный экологический контроль (надзор) осуществляется в соответствии с Положением о региональном государственном экологическом контроле (надзоре) утвержденным постановлением Правительства Вологод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ской области от 8 ноября 2021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1269, Законом Вологодской области     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от 28 июня 2006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1465-ОЗ «О наделении органов местного самоуправления отдельными государственными полномочиями в сфере охраны окружающей среды».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Нормативно правовыми актами, непосредственно регулирующими исполнение указанной функции, являются:</w:t>
      </w:r>
    </w:p>
    <w:p w:rsidR="00AF2199" w:rsidRPr="00AF2199" w:rsidRDefault="007875C9" w:rsidP="00AF2199">
      <w:pPr>
        <w:widowControl w:val="0"/>
        <w:ind w:firstLine="709"/>
        <w:jc w:val="both"/>
        <w:textAlignment w:val="baseline"/>
      </w:pPr>
      <w:hyperlink r:id="rId9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Конституция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Федерации;</w:t>
      </w:r>
    </w:p>
    <w:p w:rsidR="00AF2199" w:rsidRPr="00AF2199" w:rsidRDefault="007875C9" w:rsidP="00AF2199">
      <w:pPr>
        <w:widowControl w:val="0"/>
        <w:ind w:firstLine="709"/>
        <w:jc w:val="both"/>
        <w:textAlignment w:val="baseline"/>
      </w:pPr>
      <w:hyperlink r:id="rId10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Кодекс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 об административных правона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рушениях;              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1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1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0 января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7-ФЗ «Об охране окружающей среды»;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24 июня 1998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89-ФЗ «Об отходах производства                      и потребления»;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деральный закон от 4 мая 1999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96-ФЗ «Об охране атмосферного воздуха»;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закон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от 23 ноября 1995 годка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174-ФЗ «Об экологической экспертизе»;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2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2 мая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59-ФЗ «О порядке рассмотрения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обращений граждан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Градостроительный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27 июля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149-ФЗ «Об информации, информационных технологиях и о защите информации»;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он от 7 декабря 2011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416-ФЗ «О водоснабжении                              и водоотведении»;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21 июля 2014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219-ФЗ «О внесении изменений                     в Федеральный закон «Об охране окружающей среды» и отдельные законодательные акты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льный закон от 26 июля 2019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в соответствии с ними иные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правовые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Федерации,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правовы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ьный закон от 27 декабря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                     (за исключением объектов, подлежащих федеральному государственному экологическому контролю (надзору)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технический регламент Таможенного союза «О требованиях к смазочным материалам, маслам и специальным жидкостям»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иные нормативные правовые акты Российской Федерации и Вологодской области.</w:t>
      </w:r>
    </w:p>
    <w:p w:rsidR="00AF2199" w:rsidRPr="00AF2199" w:rsidRDefault="00987882" w:rsidP="00987882">
      <w:pPr>
        <w:widowControl w:val="0"/>
        <w:ind w:firstLine="708"/>
        <w:jc w:val="both"/>
        <w:textAlignment w:val="baseline"/>
      </w:pPr>
      <w:proofErr w:type="gramStart"/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1.5.</w:t>
      </w:r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</w:t>
      </w:r>
      <w:proofErr w:type="spellStart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ресурсов, лесного и охотничьего хозяйства Вологодской области.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1.6.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Региональный государственный экологический (контроль) надзор проводится на объектах, расположенных на территории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подлежащих региональному государственному экологическому надзору.</w:t>
      </w:r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1.7.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Объектами контроля являются: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                к гражданам и организациям, осуществляющим деятельность, действия (бездействие);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 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1.8. </w:t>
      </w:r>
      <w:proofErr w:type="gram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2024 году администрацией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плановые, внеплановые проверки не проводились, т.к. в 2024 году в соответствии                                  с Постановл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ением Правительства Российской Федерации от 10 марта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2022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года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336 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 и внеплановых контрольных (надзорных) мероприятий, введен мораторий на проведение проверок в отношении бизнеса всех</w:t>
      </w:r>
      <w:proofErr w:type="gram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уровней. Возбуждение дел 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б административных правонарушениях допускается исключительно в случае, предусмотренном пунктом 3 части 2 статьи 90 Федерального закона                                                от 31 июля 2020 г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«О государственном контроле (надзоре)                                     и муниципальном контроле в Российской Федерации» - при выявлении административного правонарушения в ходе контрольного (надзорного) мероприятия                 с взаимодействием с контролируемым лицом. 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 после согласования с органами прокуратуры.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связи с чем, контрольные (надзорные) органы, в том числе и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переориентированы на проведение профилактических мероприятий. За 9 месяцев 2024 года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проведены 4 консультирования, проведено 1 обобщение практики (информации) осуществления регионального государственного экологического контроля (надзора) за отчетный период с указанием наиболее часто встречающихся случаев нарушений обязательных требований, выдано 3 предостережения о недопустимости нарушения обязательных требований.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Также проведены обследования водных объектов, территорий их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и прибрежных защитных полос, подлежащих региональному государственному экологическому контролю (надзору), в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предпаводковый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и паводковый период                   2024 года, в рамках рассмотрения обращения граждан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проведено 19 выездных обследований территорий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водных объектов, выявлено 6 нарушений. Материалы выездных обследований направляются в Северное межрегиональное управление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Росприроднадзора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, в Полицию для принятия мер административного воздействия. За 9 месяцев 2024 года рассмотрено 1 обращение по фактам нарушений природоохранного законодательства.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Результаты надзорной деятельности администрации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 округа по состоянию на 1 октября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2024 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представлены в таблице</w:t>
      </w:r>
    </w:p>
    <w:tbl>
      <w:tblPr>
        <w:tblW w:w="9794" w:type="dxa"/>
        <w:jc w:val="center"/>
        <w:tblLook w:val="04A0"/>
      </w:tblPr>
      <w:tblGrid>
        <w:gridCol w:w="8551"/>
        <w:gridCol w:w="1243"/>
      </w:tblGrid>
      <w:tr w:rsidR="00AF2199" w:rsidRPr="00AF2199" w:rsidTr="00233902">
        <w:trPr>
          <w:trHeight w:val="429"/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Наименование мероприятий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Проведено контрольно-надзорных мероприятий, 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выездные обследования (с получением Задания на проведение КНМ без взаимодействия с контролируемым лицом и составлением Акта выездного обследования)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Рассмотрено жалоб и обращений граждан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Проведение профилактических мероприятий, всего: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Обобщение правоприменительной практики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Консультирование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Выдача предостережений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</w:t>
            </w:r>
          </w:p>
        </w:tc>
      </w:tr>
    </w:tbl>
    <w:p w:rsidR="00AF2199" w:rsidRPr="00AF2199" w:rsidRDefault="00AF2199" w:rsidP="00AF2199">
      <w:pPr>
        <w:widowControl w:val="0"/>
        <w:ind w:firstLine="426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Основные нарушения, выявленные при проведении проверок соблюдения природоохранного законодательства: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- нарушение тр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ебований природоохранного закон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одательства в сфере обращения с отходами.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целях предупреждения нарушений юридическими лицами                                            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осуществляет мероприятия по профилактике нарушений обязательных требований.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Официальный сайт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 в информационно-телекоммуникационной сети «Интернет» (далее – официальный сайт округа) содержит раздел «Профилактика нарушений обязательных требований»</w:t>
      </w:r>
      <w:r w:rsid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314942" w:rsidRPr="00AF2199" w:rsidRDefault="00314942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outlineLvl w:val="1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2.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 Цели и задачи </w:t>
      </w: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реализации программы профилактики рисков причинения вреда</w:t>
      </w:r>
      <w:proofErr w:type="gramEnd"/>
    </w:p>
    <w:p w:rsidR="00AF2199" w:rsidRPr="00AF2199" w:rsidRDefault="00314942" w:rsidP="00AF2199">
      <w:pPr>
        <w:widowControl w:val="0"/>
        <w:shd w:val="clear" w:color="auto" w:fill="FFFFFF"/>
        <w:spacing w:before="12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2.1.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Основными целями Программы профилактики являются: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тимулирование добросовестного соблюдения обязательных требований всеми контролируемыми лицами;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="00B0583C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2199" w:rsidRPr="00AF2199" w:rsidRDefault="00B0583C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 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оздание условий для доведения обязательных требований                                       до контролируемых лиц, повышение информированности о способах их соблюдения.</w:t>
      </w:r>
    </w:p>
    <w:p w:rsidR="00AF2199" w:rsidRPr="00AF2199" w:rsidRDefault="002746B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2.2.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Проведение профилактических мероприятий позволит решить следующие задачи: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  <w:sectPr w:rsidR="00AF2199" w:rsidRPr="00AF2199">
          <w:headerReference w:type="default" r:id="rId13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100"/>
        </w:sectPr>
      </w:pP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lastRenderedPageBreak/>
        <w:t>Раздел 3</w:t>
      </w: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.Перечень мероприятий по профилактике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на 2025 год, периодичность 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их проведения.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</w:p>
    <w:tbl>
      <w:tblPr>
        <w:tblW w:w="151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"/>
        <w:gridCol w:w="3491"/>
        <w:gridCol w:w="5232"/>
        <w:gridCol w:w="2952"/>
        <w:gridCol w:w="2867"/>
      </w:tblGrid>
      <w:tr w:rsidR="00AF2199" w:rsidRPr="00AF2199" w:rsidTr="00233902">
        <w:trPr>
          <w:trHeight w:val="5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Содержание мероприятия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Периодичность / сроки проведения 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Ответственное лицо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на официальном сайте 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bookmarkStart w:id="2" w:name="__DdeLink__1691_3520037281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  <w:bookmarkEnd w:id="2"/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и поддержание в актуальном состоянии на официальном сайте  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 мере внесения изменений в нормативные правовые акты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(актуализация по мере принятия или  внесения изменений в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</w:t>
            </w:r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программы профилактики рисков причинения вреда</w:t>
            </w:r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сведений о порядке досудебного обжалования решений контрольного (надзорного) органа, действия (бездействия) его должностных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В течение года (актуализация по мере принятия или  внесения изменений в нормативные правовые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Не реже одного раза в год, не позднее 1 марта 2024 года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соответствии с графиком проведения публичных мероприятий Департамента</w:t>
            </w: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природных ресурсов, лесного и охотничьего хозяйства Вологодской области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сайте </w:t>
            </w: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10 рабочих дней со дня утверждения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22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Направление  контролируемым лицам предостережений о недопустимости нарушения обязательных требований в соответствии со статьей 49 Федерального закона от 31.07.2020 №248-ФЗ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 контролируемых лиц по вопросам: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- профилактики рисков нарушения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соблюдение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осуществления регионального экологического контроля;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обжалования решений контрольного (надзорного) органа.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видео-конференции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связи или на личном приеме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экономики, отраслевого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отношении контролируемых лиц, приступающих к осуществлению деятельности в определенной сфере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январь — декабрь (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IV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кварталы)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</w:tbl>
    <w:p w:rsidR="00AF2199" w:rsidRPr="00AF2199" w:rsidRDefault="00AF2199" w:rsidP="00AF2199">
      <w:pPr>
        <w:sectPr w:rsidR="00AF2199" w:rsidRPr="00AF2199">
          <w:headerReference w:type="default" r:id="rId14"/>
          <w:pgSz w:w="16838" w:h="11906" w:orient="landscape"/>
          <w:pgMar w:top="1701" w:right="567" w:bottom="1134" w:left="1134" w:header="720" w:footer="0" w:gutter="0"/>
          <w:cols w:space="720"/>
          <w:formProt w:val="0"/>
          <w:docGrid w:linePitch="100"/>
        </w:sectPr>
      </w:pP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</w:pPr>
      <w:r w:rsidRPr="00B507B7">
        <w:rPr>
          <w:rFonts w:eastAsia="Segoe UI"/>
          <w:color w:val="000000"/>
          <w:kern w:val="2"/>
          <w:sz w:val="26"/>
          <w:szCs w:val="26"/>
          <w:lang w:eastAsia="zh-CN" w:bidi="hi-IN"/>
        </w:rPr>
        <w:lastRenderedPageBreak/>
        <w:t>Раздел 4</w:t>
      </w: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>.</w:t>
      </w:r>
      <w:r w:rsidR="00B507B7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 xml:space="preserve"> </w:t>
      </w:r>
      <w:r w:rsidRPr="00AF2199"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  <w:t>Показатели результативности и эффективности программы профилактики</w:t>
      </w: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kern w:val="2"/>
          <w:sz w:val="16"/>
          <w:szCs w:val="16"/>
          <w:lang w:eastAsia="zh-CN" w:bidi="hi-IN"/>
        </w:rPr>
      </w:pPr>
    </w:p>
    <w:p w:rsidR="00AF2199" w:rsidRPr="00AF2199" w:rsidRDefault="00AF2199" w:rsidP="00AF2199">
      <w:pPr>
        <w:widowControl w:val="0"/>
        <w:ind w:firstLine="540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Для оценки </w:t>
      </w:r>
      <w:proofErr w:type="gramStart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достижения поставленных целей профилактики рисков причинения</w:t>
      </w:r>
      <w:proofErr w:type="gramEnd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                               из следующих показателей:</w:t>
      </w:r>
    </w:p>
    <w:tbl>
      <w:tblPr>
        <w:tblW w:w="9661" w:type="dxa"/>
        <w:tblInd w:w="206" w:type="dxa"/>
        <w:tblLook w:val="04A0"/>
      </w:tblPr>
      <w:tblGrid>
        <w:gridCol w:w="666"/>
        <w:gridCol w:w="6037"/>
        <w:gridCol w:w="1477"/>
        <w:gridCol w:w="1481"/>
      </w:tblGrid>
      <w:tr w:rsidR="00AF2199" w:rsidRPr="00AF2199" w:rsidTr="00233902">
        <w:trPr>
          <w:trHeight w:val="6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</w:t>
            </w:r>
          </w:p>
        </w:tc>
      </w:tr>
      <w:tr w:rsidR="00AF2199" w:rsidRPr="00AF2199" w:rsidTr="00233902">
        <w:trPr>
          <w:trHeight w:val="26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на официальном сайте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7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Полнота информации, размещенной на официальном сайте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8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Calibri"/>
                <w:sz w:val="26"/>
                <w:szCs w:val="26"/>
              </w:rPr>
            </w:pPr>
            <w:proofErr w:type="spellStart"/>
            <w:r w:rsidRPr="00AF2199">
              <w:rPr>
                <w:rFonts w:eastAsia="Calibri"/>
                <w:color w:val="000000"/>
                <w:sz w:val="26"/>
                <w:szCs w:val="26"/>
              </w:rPr>
              <w:t>Исполняемость</w:t>
            </w:r>
            <w:proofErr w:type="spellEnd"/>
            <w:r w:rsidRPr="00AF2199">
              <w:rPr>
                <w:rFonts w:eastAsia="Calibri"/>
                <w:color w:val="000000"/>
                <w:sz w:val="26"/>
                <w:szCs w:val="26"/>
              </w:rPr>
              <w:t xml:space="preserve"> плана мероприятий по профилактике </w:t>
            </w:r>
            <w:r w:rsidRPr="00AF2199">
              <w:rPr>
                <w:rFonts w:eastAsia="Calibri"/>
                <w:sz w:val="26"/>
                <w:szCs w:val="26"/>
              </w:rPr>
              <w:t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                        в сфере деятельности </w:t>
      </w:r>
      <w:r w:rsidRPr="00AF2199">
        <w:rPr>
          <w:rFonts w:eastAsia="MS Mincho"/>
          <w:color w:val="000000"/>
          <w:kern w:val="2"/>
          <w:sz w:val="26"/>
          <w:szCs w:val="26"/>
          <w:lang w:eastAsia="zh-CN" w:bidi="ru-RU"/>
        </w:rPr>
        <w:t>администрации округа</w:t>
      </w: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>.</w:t>
      </w:r>
    </w:p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AF2199" w:rsidRPr="00AF2199" w:rsidRDefault="00AF2199" w:rsidP="00AF2199">
      <w:pPr>
        <w:suppressAutoHyphens w:val="0"/>
        <w:jc w:val="center"/>
      </w:pPr>
    </w:p>
    <w:p w:rsidR="00F04DBB" w:rsidRDefault="00F04DBB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4126FE" w:rsidRPr="00AF2199" w:rsidRDefault="004126FE"/>
    <w:sectPr w:rsidR="004126FE" w:rsidRPr="00AF2199" w:rsidSect="00233902">
      <w:headerReference w:type="default" r:id="rId15"/>
      <w:headerReference w:type="first" r:id="rId16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04" w:rsidRDefault="009C0404" w:rsidP="00DA15F2">
      <w:r>
        <w:separator/>
      </w:r>
    </w:p>
  </w:endnote>
  <w:endnote w:type="continuationSeparator" w:id="0">
    <w:p w:rsidR="009C0404" w:rsidRDefault="009C0404" w:rsidP="00D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04" w:rsidRDefault="009C0404" w:rsidP="00DA15F2">
      <w:r>
        <w:separator/>
      </w:r>
    </w:p>
  </w:footnote>
  <w:footnote w:type="continuationSeparator" w:id="0">
    <w:p w:rsidR="009C0404" w:rsidRDefault="009C0404" w:rsidP="00D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63521"/>
      <w:docPartObj>
        <w:docPartGallery w:val="Page Numbers (Top of Page)"/>
        <w:docPartUnique/>
      </w:docPartObj>
    </w:sdtPr>
    <w:sdtContent>
      <w:p w:rsidR="003D163C" w:rsidRDefault="007875C9">
        <w:pPr>
          <w:pStyle w:val="Header"/>
          <w:jc w:val="center"/>
        </w:pPr>
        <w:fldSimple w:instr="PAGE">
          <w:r w:rsidR="00170624">
            <w:rPr>
              <w:noProof/>
            </w:rPr>
            <w:t>5</w:t>
          </w:r>
        </w:fldSimple>
      </w:p>
      <w:p w:rsidR="003D163C" w:rsidRDefault="007875C9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7506"/>
      <w:docPartObj>
        <w:docPartGallery w:val="Page Numbers (Top of Page)"/>
        <w:docPartUnique/>
      </w:docPartObj>
    </w:sdtPr>
    <w:sdtContent>
      <w:p w:rsidR="003D163C" w:rsidRDefault="007875C9">
        <w:pPr>
          <w:pStyle w:val="Header"/>
          <w:jc w:val="center"/>
        </w:pPr>
        <w:fldSimple w:instr="PAGE">
          <w:r w:rsidR="00170624">
            <w:rPr>
              <w:noProof/>
            </w:rPr>
            <w:t>9</w:t>
          </w:r>
        </w:fldSimple>
      </w:p>
      <w:p w:rsidR="003D163C" w:rsidRDefault="007875C9">
        <w:pPr>
          <w:pStyle w:val="Head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3C" w:rsidRDefault="007875C9">
    <w:pPr>
      <w:pStyle w:val="Header"/>
      <w:jc w:val="center"/>
    </w:pPr>
    <w:fldSimple w:instr="PAGE">
      <w:r w:rsidR="00170624">
        <w:rPr>
          <w:noProof/>
        </w:rPr>
        <w:t>2</w:t>
      </w:r>
    </w:fldSimple>
  </w:p>
  <w:p w:rsidR="003D163C" w:rsidRDefault="003D163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3C" w:rsidRDefault="003D163C">
    <w:pPr>
      <w:pStyle w:val="Header"/>
      <w:jc w:val="center"/>
    </w:pPr>
    <w:r>
      <w:t>1</w:t>
    </w:r>
    <w:fldSimple w:instr="PAGE">
      <w:r w:rsidR="00170624">
        <w:rPr>
          <w:noProof/>
        </w:rPr>
        <w:t>1</w:t>
      </w:r>
    </w:fldSimple>
  </w:p>
  <w:p w:rsidR="003D163C" w:rsidRDefault="003D16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6FA"/>
    <w:multiLevelType w:val="multilevel"/>
    <w:tmpl w:val="02082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9"/>
    <w:rsid w:val="000319DE"/>
    <w:rsid w:val="000A779F"/>
    <w:rsid w:val="00170624"/>
    <w:rsid w:val="001803CA"/>
    <w:rsid w:val="00233902"/>
    <w:rsid w:val="00272803"/>
    <w:rsid w:val="002746B9"/>
    <w:rsid w:val="00314942"/>
    <w:rsid w:val="003C5E44"/>
    <w:rsid w:val="003D163C"/>
    <w:rsid w:val="004126FE"/>
    <w:rsid w:val="00471545"/>
    <w:rsid w:val="004D6730"/>
    <w:rsid w:val="006F76A6"/>
    <w:rsid w:val="007875C9"/>
    <w:rsid w:val="00932C97"/>
    <w:rsid w:val="00987882"/>
    <w:rsid w:val="009C0404"/>
    <w:rsid w:val="009F041B"/>
    <w:rsid w:val="00AF2199"/>
    <w:rsid w:val="00B0583C"/>
    <w:rsid w:val="00B507B7"/>
    <w:rsid w:val="00DA15F2"/>
    <w:rsid w:val="00E52652"/>
    <w:rsid w:val="00F0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199"/>
    <w:rPr>
      <w:sz w:val="28"/>
    </w:rPr>
  </w:style>
  <w:style w:type="character" w:customStyle="1" w:styleId="a4">
    <w:name w:val="Основной текст Знак"/>
    <w:basedOn w:val="a0"/>
    <w:link w:val="a3"/>
    <w:rsid w:val="00AF2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">
    <w:name w:val="Header"/>
    <w:basedOn w:val="a"/>
    <w:uiPriority w:val="99"/>
    <w:rsid w:val="00AF2199"/>
    <w:pPr>
      <w:suppressLineNumbers/>
      <w:tabs>
        <w:tab w:val="center" w:pos="4819"/>
        <w:tab w:val="right" w:pos="9638"/>
      </w:tabs>
    </w:pPr>
  </w:style>
  <w:style w:type="table" w:styleId="a5">
    <w:name w:val="Table Grid"/>
    <w:basedOn w:val="a1"/>
    <w:uiPriority w:val="59"/>
    <w:rsid w:val="00AF2199"/>
    <w:pPr>
      <w:spacing w:after="0" w:line="240" w:lineRule="auto"/>
    </w:pPr>
    <w:rPr>
      <w:rFonts w:ascii="Calibri" w:eastAsia="Calibr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16</cp:revision>
  <cp:lastPrinted>2024-11-13T13:19:00Z</cp:lastPrinted>
  <dcterms:created xsi:type="dcterms:W3CDTF">2024-10-01T12:16:00Z</dcterms:created>
  <dcterms:modified xsi:type="dcterms:W3CDTF">2024-11-13T13:40:00Z</dcterms:modified>
</cp:coreProperties>
</file>