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49" w:rsidRPr="00F7167C" w:rsidRDefault="006E0449" w:rsidP="006E044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" cy="7143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449" w:rsidRDefault="006E0449" w:rsidP="006E0449">
      <w:pPr>
        <w:jc w:val="center"/>
        <w:rPr>
          <w:sz w:val="26"/>
          <w:szCs w:val="26"/>
        </w:rPr>
      </w:pPr>
    </w:p>
    <w:p w:rsidR="006E0449" w:rsidRDefault="006E0449" w:rsidP="006E044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УСТЬ-КУБИНСКОГО </w:t>
      </w:r>
    </w:p>
    <w:p w:rsidR="006E0449" w:rsidRDefault="006E0449" w:rsidP="006E044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6E0449" w:rsidRDefault="006E0449" w:rsidP="006E0449">
      <w:pPr>
        <w:jc w:val="center"/>
        <w:rPr>
          <w:b/>
          <w:sz w:val="26"/>
          <w:szCs w:val="26"/>
        </w:rPr>
      </w:pPr>
    </w:p>
    <w:p w:rsidR="006E0449" w:rsidRDefault="006E0449" w:rsidP="006E044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6E0449" w:rsidRDefault="006E0449" w:rsidP="006E0449">
      <w:pPr>
        <w:jc w:val="both"/>
        <w:rPr>
          <w:sz w:val="26"/>
          <w:szCs w:val="26"/>
        </w:rPr>
      </w:pPr>
    </w:p>
    <w:p w:rsidR="006E0449" w:rsidRDefault="006E0449" w:rsidP="006E0449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6E0449" w:rsidRDefault="006E0449" w:rsidP="006E0449">
      <w:pPr>
        <w:jc w:val="center"/>
        <w:rPr>
          <w:sz w:val="26"/>
          <w:szCs w:val="26"/>
        </w:rPr>
      </w:pPr>
    </w:p>
    <w:p w:rsidR="006E0449" w:rsidRDefault="006E0449" w:rsidP="006E0449">
      <w:pPr>
        <w:tabs>
          <w:tab w:val="right" w:pos="9180"/>
        </w:tabs>
        <w:rPr>
          <w:sz w:val="26"/>
          <w:szCs w:val="26"/>
        </w:rPr>
      </w:pPr>
      <w:r>
        <w:rPr>
          <w:sz w:val="26"/>
          <w:szCs w:val="26"/>
        </w:rPr>
        <w:t>30.04.2021                                                                                                          № 399</w:t>
      </w:r>
    </w:p>
    <w:p w:rsidR="006E0449" w:rsidRDefault="006E0449" w:rsidP="006E0449">
      <w:pPr>
        <w:tabs>
          <w:tab w:val="right" w:pos="9180"/>
        </w:tabs>
        <w:rPr>
          <w:sz w:val="26"/>
          <w:szCs w:val="26"/>
        </w:rPr>
      </w:pPr>
    </w:p>
    <w:p w:rsidR="006E0449" w:rsidRPr="00632E86" w:rsidRDefault="006E0449" w:rsidP="006E0449">
      <w:pPr>
        <w:tabs>
          <w:tab w:val="right" w:pos="9180"/>
        </w:tabs>
        <w:jc w:val="center"/>
        <w:rPr>
          <w:sz w:val="26"/>
          <w:szCs w:val="26"/>
        </w:rPr>
      </w:pPr>
      <w:r w:rsidRPr="00632E86">
        <w:rPr>
          <w:sz w:val="26"/>
          <w:szCs w:val="26"/>
        </w:rPr>
        <w:t xml:space="preserve">Об утверждении Плана мероприятий по </w:t>
      </w:r>
      <w:r>
        <w:rPr>
          <w:sz w:val="26"/>
          <w:szCs w:val="26"/>
        </w:rPr>
        <w:t xml:space="preserve">росту </w:t>
      </w:r>
      <w:r w:rsidRPr="00632E86">
        <w:rPr>
          <w:sz w:val="26"/>
          <w:szCs w:val="26"/>
        </w:rPr>
        <w:t>доход</w:t>
      </w:r>
      <w:r>
        <w:rPr>
          <w:sz w:val="26"/>
          <w:szCs w:val="26"/>
        </w:rPr>
        <w:t>н</w:t>
      </w:r>
      <w:r w:rsidRPr="00632E86">
        <w:rPr>
          <w:sz w:val="26"/>
          <w:szCs w:val="26"/>
        </w:rPr>
        <w:t>о</w:t>
      </w:r>
      <w:r>
        <w:rPr>
          <w:sz w:val="26"/>
          <w:szCs w:val="26"/>
        </w:rPr>
        <w:t xml:space="preserve">го </w:t>
      </w:r>
      <w:proofErr w:type="gramStart"/>
      <w:r>
        <w:rPr>
          <w:sz w:val="26"/>
          <w:szCs w:val="26"/>
        </w:rPr>
        <w:t>потенциала</w:t>
      </w:r>
      <w:proofErr w:type="gramEnd"/>
      <w:r w:rsidRPr="00632E86">
        <w:rPr>
          <w:sz w:val="26"/>
          <w:szCs w:val="26"/>
        </w:rPr>
        <w:t xml:space="preserve"> консолид</w:t>
      </w:r>
      <w:r>
        <w:rPr>
          <w:sz w:val="26"/>
          <w:szCs w:val="26"/>
        </w:rPr>
        <w:t>ированного бюджет района на 2021</w:t>
      </w:r>
      <w:r w:rsidRPr="00632E86">
        <w:rPr>
          <w:sz w:val="26"/>
          <w:szCs w:val="26"/>
        </w:rPr>
        <w:t>-20</w:t>
      </w:r>
      <w:r>
        <w:rPr>
          <w:sz w:val="26"/>
          <w:szCs w:val="26"/>
        </w:rPr>
        <w:t>23</w:t>
      </w:r>
      <w:r w:rsidRPr="00632E86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</w:p>
    <w:p w:rsidR="006E0449" w:rsidRPr="00632E86" w:rsidRDefault="006E0449" w:rsidP="006E0449">
      <w:pPr>
        <w:tabs>
          <w:tab w:val="right" w:pos="9180"/>
        </w:tabs>
        <w:rPr>
          <w:sz w:val="26"/>
          <w:szCs w:val="26"/>
        </w:rPr>
      </w:pPr>
    </w:p>
    <w:p w:rsidR="006E0449" w:rsidRPr="00632E86" w:rsidRDefault="006E0449" w:rsidP="006E0449">
      <w:pPr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                В целях диверсификации доходной базы консолидированного бюджета района, </w:t>
      </w:r>
      <w:r>
        <w:rPr>
          <w:sz w:val="26"/>
          <w:szCs w:val="26"/>
        </w:rPr>
        <w:t>в соответствии со ст. 43</w:t>
      </w:r>
      <w:r w:rsidRPr="00632E86">
        <w:rPr>
          <w:sz w:val="26"/>
          <w:szCs w:val="26"/>
        </w:rPr>
        <w:t xml:space="preserve"> Устава района администрации района</w:t>
      </w:r>
    </w:p>
    <w:p w:rsidR="006E0449" w:rsidRPr="00632E86" w:rsidRDefault="006E0449" w:rsidP="006E0449">
      <w:pPr>
        <w:jc w:val="both"/>
        <w:rPr>
          <w:sz w:val="26"/>
          <w:szCs w:val="26"/>
        </w:rPr>
      </w:pPr>
      <w:r w:rsidRPr="00632E86">
        <w:rPr>
          <w:b/>
          <w:sz w:val="26"/>
          <w:szCs w:val="26"/>
        </w:rPr>
        <w:t>ПОСТАНОВЛЯЕТ:</w:t>
      </w:r>
    </w:p>
    <w:p w:rsidR="006E0449" w:rsidRPr="00632E86" w:rsidRDefault="006E0449" w:rsidP="006E0449">
      <w:pPr>
        <w:tabs>
          <w:tab w:val="right" w:pos="9360"/>
        </w:tabs>
        <w:ind w:right="-5"/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          1. Утвердить План мероприятий по</w:t>
      </w:r>
      <w:r>
        <w:rPr>
          <w:sz w:val="26"/>
          <w:szCs w:val="26"/>
        </w:rPr>
        <w:t xml:space="preserve"> росту</w:t>
      </w:r>
      <w:r w:rsidRPr="00632E86">
        <w:rPr>
          <w:sz w:val="26"/>
          <w:szCs w:val="26"/>
        </w:rPr>
        <w:t xml:space="preserve"> доходного </w:t>
      </w:r>
      <w:proofErr w:type="gramStart"/>
      <w:r w:rsidRPr="00632E86">
        <w:rPr>
          <w:sz w:val="26"/>
          <w:szCs w:val="26"/>
        </w:rPr>
        <w:t>потенциала</w:t>
      </w:r>
      <w:proofErr w:type="gramEnd"/>
      <w:r w:rsidRPr="00632E86">
        <w:rPr>
          <w:sz w:val="26"/>
          <w:szCs w:val="26"/>
        </w:rPr>
        <w:t xml:space="preserve"> консолидированного бюджет района на </w:t>
      </w:r>
      <w:r>
        <w:rPr>
          <w:sz w:val="26"/>
          <w:szCs w:val="26"/>
        </w:rPr>
        <w:t>2021</w:t>
      </w:r>
      <w:r w:rsidRPr="00632E86">
        <w:rPr>
          <w:sz w:val="26"/>
          <w:szCs w:val="26"/>
        </w:rPr>
        <w:t>-20</w:t>
      </w:r>
      <w:r>
        <w:rPr>
          <w:sz w:val="26"/>
          <w:szCs w:val="26"/>
        </w:rPr>
        <w:t xml:space="preserve">23 </w:t>
      </w:r>
      <w:r w:rsidRPr="00632E86">
        <w:rPr>
          <w:sz w:val="26"/>
          <w:szCs w:val="26"/>
        </w:rPr>
        <w:t>годы (далее - План) согласно приложени</w:t>
      </w:r>
      <w:r>
        <w:rPr>
          <w:sz w:val="26"/>
          <w:szCs w:val="26"/>
        </w:rPr>
        <w:t>ю к настоящему постановлению.</w:t>
      </w:r>
    </w:p>
    <w:p w:rsidR="006E0449" w:rsidRPr="00632E86" w:rsidRDefault="006E0449" w:rsidP="006E0449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2. </w:t>
      </w:r>
      <w:proofErr w:type="gramStart"/>
      <w:r w:rsidRPr="00632E86">
        <w:rPr>
          <w:sz w:val="26"/>
          <w:szCs w:val="26"/>
        </w:rPr>
        <w:t>Ответственным за мероприятия Плана ежеквартально в срок до 10 числа месяца, следующего за отчетным кварталом, обеспечить представление в финансовое управление администрации района отчет о выполнении мероприятий Плана.</w:t>
      </w:r>
      <w:proofErr w:type="gramEnd"/>
    </w:p>
    <w:p w:rsidR="006E0449" w:rsidRPr="00632E86" w:rsidRDefault="006E0449" w:rsidP="006E0449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>3. Финансовому управлению администрации района (Фомичев С.Н.):</w:t>
      </w:r>
    </w:p>
    <w:p w:rsidR="006E0449" w:rsidRPr="00632E86" w:rsidRDefault="006E0449" w:rsidP="006E0449">
      <w:pPr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>-в месячный срок направить План в Представительное Собрание района для ознакомления;</w:t>
      </w:r>
    </w:p>
    <w:p w:rsidR="006E0449" w:rsidRPr="00632E86" w:rsidRDefault="006E0449" w:rsidP="006E0449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-обеспечить </w:t>
      </w:r>
      <w:proofErr w:type="gramStart"/>
      <w:r w:rsidRPr="00632E86">
        <w:rPr>
          <w:sz w:val="26"/>
          <w:szCs w:val="26"/>
        </w:rPr>
        <w:t>контроль за</w:t>
      </w:r>
      <w:proofErr w:type="gramEnd"/>
      <w:r w:rsidRPr="00632E86">
        <w:rPr>
          <w:sz w:val="26"/>
          <w:szCs w:val="26"/>
        </w:rPr>
        <w:t xml:space="preserve"> соблюдением сроков выполнения мероприятий Плана;</w:t>
      </w:r>
    </w:p>
    <w:p w:rsidR="006E0449" w:rsidRPr="00632E86" w:rsidRDefault="006E0449" w:rsidP="006E0449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>-ежеквартально в рамках отчета об исполнении консолидированного бюджет</w:t>
      </w:r>
      <w:r>
        <w:rPr>
          <w:sz w:val="26"/>
          <w:szCs w:val="26"/>
        </w:rPr>
        <w:t>а района на 2021</w:t>
      </w:r>
      <w:r w:rsidRPr="00632E86">
        <w:rPr>
          <w:sz w:val="26"/>
          <w:szCs w:val="26"/>
        </w:rPr>
        <w:t>-20</w:t>
      </w:r>
      <w:r>
        <w:rPr>
          <w:sz w:val="26"/>
          <w:szCs w:val="26"/>
        </w:rPr>
        <w:t>23</w:t>
      </w:r>
      <w:r w:rsidRPr="00632E86">
        <w:rPr>
          <w:sz w:val="26"/>
          <w:szCs w:val="26"/>
        </w:rPr>
        <w:t xml:space="preserve">годы представлять </w:t>
      </w:r>
      <w:r>
        <w:rPr>
          <w:sz w:val="26"/>
          <w:szCs w:val="26"/>
        </w:rPr>
        <w:t>руководителю</w:t>
      </w:r>
      <w:r w:rsidRPr="00632E86">
        <w:rPr>
          <w:sz w:val="26"/>
          <w:szCs w:val="26"/>
        </w:rPr>
        <w:t xml:space="preserve"> администрации района и в Департамент финансов области отчет о ходе и результатах выполнения мероприятий Плана.</w:t>
      </w:r>
    </w:p>
    <w:p w:rsidR="006E0449" w:rsidRPr="006E0449" w:rsidRDefault="006E0449" w:rsidP="006E0449">
      <w:pPr>
        <w:tabs>
          <w:tab w:val="right" w:pos="7020"/>
          <w:tab w:val="right" w:pos="7740"/>
        </w:tabs>
        <w:jc w:val="both"/>
        <w:rPr>
          <w:sz w:val="26"/>
          <w:szCs w:val="26"/>
        </w:rPr>
      </w:pPr>
      <w:r w:rsidRPr="006E0449">
        <w:rPr>
          <w:sz w:val="26"/>
          <w:szCs w:val="26"/>
        </w:rPr>
        <w:t xml:space="preserve">           4. Постановление администрации района от 18 апреля  2019 года № 360 "Об утверждении Плана мероприятий по росту доходного </w:t>
      </w:r>
      <w:proofErr w:type="gramStart"/>
      <w:r w:rsidRPr="006E0449">
        <w:rPr>
          <w:sz w:val="26"/>
          <w:szCs w:val="26"/>
        </w:rPr>
        <w:t>потенциала</w:t>
      </w:r>
      <w:proofErr w:type="gramEnd"/>
      <w:r w:rsidRPr="006E0449">
        <w:rPr>
          <w:sz w:val="26"/>
          <w:szCs w:val="26"/>
        </w:rPr>
        <w:t xml:space="preserve"> консолидированного бюджета района на 2019-2021 годы» признать утратившим силу.</w:t>
      </w:r>
    </w:p>
    <w:p w:rsidR="006E0449" w:rsidRPr="006E0449" w:rsidRDefault="006E0449" w:rsidP="006E0449">
      <w:pPr>
        <w:tabs>
          <w:tab w:val="righ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E0449">
        <w:rPr>
          <w:sz w:val="26"/>
          <w:szCs w:val="26"/>
        </w:rPr>
        <w:t>5. Настоящее постановление вступает в силу со дня его подписания и распространяется на правоотношения, возникшие с 1 января 2021 года.</w:t>
      </w: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6E0449" w:rsidRDefault="006E0449" w:rsidP="006E0449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полномочия</w:t>
      </w:r>
    </w:p>
    <w:p w:rsidR="006E0449" w:rsidRDefault="006E0449" w:rsidP="006E0449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района </w:t>
      </w:r>
    </w:p>
    <w:p w:rsidR="006E0449" w:rsidRDefault="006E0449" w:rsidP="006E0449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>заместителя руководителя администрации</w:t>
      </w:r>
    </w:p>
    <w:p w:rsidR="006E0449" w:rsidRDefault="006E0449" w:rsidP="006E0449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>района, начальник отдела культуры и</w:t>
      </w: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  <w:r>
        <w:rPr>
          <w:sz w:val="26"/>
          <w:szCs w:val="26"/>
        </w:rPr>
        <w:t>молодежи администрации района                                                            Е.Б. Комарова</w:t>
      </w: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  <w:sectPr w:rsidR="006E0449" w:rsidSect="006E0449">
          <w:pgSz w:w="11906" w:h="16838"/>
          <w:pgMar w:top="1134" w:right="850" w:bottom="142" w:left="1701" w:header="708" w:footer="708" w:gutter="0"/>
          <w:cols w:space="708"/>
          <w:docGrid w:linePitch="360"/>
        </w:sectPr>
      </w:pPr>
    </w:p>
    <w:tbl>
      <w:tblPr>
        <w:tblW w:w="16246" w:type="dxa"/>
        <w:tblInd w:w="95" w:type="dxa"/>
        <w:tblLook w:val="04A0"/>
      </w:tblPr>
      <w:tblGrid>
        <w:gridCol w:w="396"/>
        <w:gridCol w:w="4012"/>
        <w:gridCol w:w="3402"/>
        <w:gridCol w:w="829"/>
        <w:gridCol w:w="1265"/>
        <w:gridCol w:w="1265"/>
        <w:gridCol w:w="1265"/>
        <w:gridCol w:w="1265"/>
        <w:gridCol w:w="1282"/>
        <w:gridCol w:w="1265"/>
      </w:tblGrid>
      <w:tr w:rsidR="006E0449" w:rsidRPr="006E0449" w:rsidTr="006E0449">
        <w:trPr>
          <w:cantSplit/>
        </w:trPr>
        <w:tc>
          <w:tcPr>
            <w:tcW w:w="162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0449" w:rsidRPr="006E0449" w:rsidRDefault="006E0449" w:rsidP="006E0449">
            <w:pPr>
              <w:jc w:val="right"/>
              <w:rPr>
                <w:color w:val="000000"/>
                <w:sz w:val="12"/>
                <w:szCs w:val="12"/>
              </w:rPr>
            </w:pPr>
            <w:bookmarkStart w:id="0" w:name="RANGE!A1:J48"/>
            <w:proofErr w:type="gramStart"/>
            <w:r w:rsidRPr="006E0449">
              <w:rPr>
                <w:color w:val="000000"/>
                <w:sz w:val="12"/>
                <w:szCs w:val="12"/>
              </w:rPr>
              <w:lastRenderedPageBreak/>
              <w:t>Утвержден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 xml:space="preserve"> </w:t>
            </w:r>
            <w:r w:rsidRPr="006E0449">
              <w:rPr>
                <w:color w:val="000000"/>
                <w:sz w:val="12"/>
                <w:szCs w:val="12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постановлением администрации района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12"/>
                <w:szCs w:val="12"/>
              </w:rPr>
              <w:t xml:space="preserve">                     от 30.04.2021 № 399</w:t>
            </w:r>
            <w:r w:rsidRPr="006E0449">
              <w:rPr>
                <w:color w:val="000000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(приложение)</w:t>
            </w:r>
            <w:bookmarkEnd w:id="0"/>
          </w:p>
        </w:tc>
      </w:tr>
      <w:tr w:rsidR="006E0449" w:rsidRPr="006E0449" w:rsidTr="006E0449">
        <w:trPr>
          <w:cantSplit/>
        </w:trPr>
        <w:tc>
          <w:tcPr>
            <w:tcW w:w="1624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План мероприятий по росту доходного потенциала на 2021-2023гг.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Целевой показатель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 xml:space="preserve">Ед. измерения 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2021 год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2022 год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2023 год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Бюджетный эффект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Бюджетный эффект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Бюджетный эффект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Принятие мер по урегулированию и взысканию задолженности по налоговым платежам: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7825,0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5575,0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7705,0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5455,0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7755,0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5605,0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1.1.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right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урегулирование и взыскание задолженности по налогу на доходы физических лиц, единому налогу на вмененный доход, налогу, взимаемому в связи с применением упрощенной системы налогообложения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поступление средств в результате принятых мер по урегулированию и взысканию задолженности по налоговым платежам (НДФЛ, ЕНВД</w:t>
            </w:r>
            <w:proofErr w:type="gramStart"/>
            <w:r w:rsidRPr="006E0449">
              <w:rPr>
                <w:i/>
                <w:iCs/>
                <w:color w:val="000000"/>
                <w:sz w:val="12"/>
                <w:szCs w:val="12"/>
              </w:rPr>
              <w:t>,У</w:t>
            </w:r>
            <w:proofErr w:type="gramEnd"/>
            <w:r w:rsidRPr="006E0449">
              <w:rPr>
                <w:i/>
                <w:iCs/>
                <w:color w:val="000000"/>
                <w:sz w:val="12"/>
                <w:szCs w:val="12"/>
              </w:rPr>
              <w:t>СН)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5300,0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4300,0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5500,0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4600,0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1.2.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right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проведение мероприятий по урегулированию и взысканию задолженности по имущественным налогам (налог на имущество физических лиц, земельный налог с физических лиц, транспортный налог с физических лиц)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 xml:space="preserve">количество проведенных рейдовых мероприятий по взысканию задолженности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22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охваченных налогоплательщиков, имеющих задолженность по имущественным налогам, в результате рейдовых мероприятий и индивидуальной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488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295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453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260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поступление сре</w:t>
            </w:r>
            <w:proofErr w:type="gramStart"/>
            <w:r w:rsidRPr="006E0449">
              <w:rPr>
                <w:i/>
                <w:iCs/>
                <w:color w:val="000000"/>
                <w:sz w:val="12"/>
                <w:szCs w:val="12"/>
              </w:rPr>
              <w:t>дств в р</w:t>
            </w:r>
            <w:proofErr w:type="gramEnd"/>
            <w:r w:rsidRPr="006E0449">
              <w:rPr>
                <w:i/>
                <w:iCs/>
                <w:color w:val="000000"/>
                <w:sz w:val="12"/>
                <w:szCs w:val="12"/>
              </w:rPr>
              <w:t>езультате принятых мер по урегулированию и взысканию задолженности по имущественным налогам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2625,0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1375,0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2405,0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1155,0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2255,0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1005,0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1.3.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right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 xml:space="preserve">установление 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контроля за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 xml:space="preserve"> платежной налоговой дисциплиной субъектов предпринимательской деятельности,  являющихся получателями бюджетных средств, выделенных на реализацию национальных проектов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поступление сре</w:t>
            </w:r>
            <w:proofErr w:type="gramStart"/>
            <w:r w:rsidRPr="006E0449">
              <w:rPr>
                <w:i/>
                <w:iCs/>
                <w:color w:val="000000"/>
                <w:sz w:val="12"/>
                <w:szCs w:val="12"/>
              </w:rPr>
              <w:t>дств в р</w:t>
            </w:r>
            <w:proofErr w:type="gramEnd"/>
            <w:r w:rsidRPr="006E0449">
              <w:rPr>
                <w:i/>
                <w:iCs/>
                <w:color w:val="000000"/>
                <w:sz w:val="12"/>
                <w:szCs w:val="12"/>
              </w:rPr>
              <w:t>езультате принятых мер по урегулированию и взысканию задолженности по  налоговым платежам по субъектам предпринимательской деятельности,  являющихся получателями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1.4.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right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урегулирование задолженности бюджетных организаций по налоговым платежам и страховым взносам, пени, штрафам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отсутствие задолженности  бюджетных организаций по налоговым платежам и страховым взносам, пени, штрафам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 / 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нет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дополнительным поступлениям от обеления доходов: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4 044,0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4 044,0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4 092,0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4 092,0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4 136,0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4 136,0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2.1.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Проведение мероприятий по легализации "теневой" заработной платы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граждан, в отношении которых повышена и легализована заработная плата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870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870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проведения мероприятий по легализации "теневой" заработной платы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3152,0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3152,0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3180,0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3180,0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3200,0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2.2.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 xml:space="preserve">Проведение работы 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по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легализация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 xml:space="preserve"> неформальной занятости населения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граждан, с которыми оформлены трудовые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75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проведенных рейдов по выявлению граждан, с которыми не оформлены трудовые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в результате проведения мероприятий по легализации неформальной занятости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870,0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870,0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890,0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890,0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2.3.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Выявление собственников недвижимости, сдающих в наем жилые помещения без декларирования доходов и уплаты налогов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выявленных собственников недвижимости, сдающих в наем жилые помещения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выявления собственников недвижимости, сдающих в наем жилые помещения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46,0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дополнительному поступлению налогов на совокупный доход: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577,0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552,0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620,0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590,0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660,0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625,0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3.1.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Выявление резервов роста поступлений налога, взимаемого в связи с применением упрощенной системы налогообложения, путем определения причин убыточности организаций и легализации их доходов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ежегодный прирост поступлений налога, взимаемого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35,0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3.2.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Развитие патентной системы налогообложения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выданных патентов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85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поступления налога, взимаемого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527,0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527,0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560,0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590,0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590,0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3.3.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sz w:val="12"/>
                <w:szCs w:val="12"/>
              </w:rPr>
            </w:pPr>
            <w:r w:rsidRPr="006E0449">
              <w:rPr>
                <w:sz w:val="12"/>
                <w:szCs w:val="12"/>
              </w:rPr>
              <w:t xml:space="preserve">Развитие института </w:t>
            </w:r>
            <w:proofErr w:type="spellStart"/>
            <w:r w:rsidRPr="006E0449">
              <w:rPr>
                <w:sz w:val="12"/>
                <w:szCs w:val="12"/>
              </w:rPr>
              <w:t>самозанятых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sz w:val="12"/>
                <w:szCs w:val="12"/>
              </w:rPr>
            </w:pPr>
            <w:r w:rsidRPr="006E0449">
              <w:rPr>
                <w:i/>
                <w:iCs/>
                <w:sz w:val="12"/>
                <w:szCs w:val="12"/>
              </w:rPr>
              <w:t xml:space="preserve">количество </w:t>
            </w:r>
            <w:proofErr w:type="gramStart"/>
            <w:r w:rsidRPr="006E0449">
              <w:rPr>
                <w:i/>
                <w:iCs/>
                <w:sz w:val="12"/>
                <w:szCs w:val="12"/>
              </w:rPr>
              <w:t>зарегистрировавшихся</w:t>
            </w:r>
            <w:proofErr w:type="gramEnd"/>
            <w:r w:rsidRPr="006E0449">
              <w:rPr>
                <w:i/>
                <w:iCs/>
                <w:sz w:val="12"/>
                <w:szCs w:val="12"/>
              </w:rPr>
              <w:t xml:space="preserve"> в качестве </w:t>
            </w:r>
            <w:proofErr w:type="spellStart"/>
            <w:r w:rsidRPr="006E0449">
              <w:rPr>
                <w:i/>
                <w:iCs/>
                <w:sz w:val="12"/>
                <w:szCs w:val="12"/>
              </w:rPr>
              <w:t>самозанятых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35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дополнительному поступлению местных налогов: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4.1.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sz w:val="12"/>
                <w:szCs w:val="12"/>
              </w:rPr>
            </w:pPr>
            <w:r w:rsidRPr="006E0449">
              <w:rPr>
                <w:sz w:val="12"/>
                <w:szCs w:val="12"/>
              </w:rPr>
              <w:t>Разработка плана мероприятий по отмене налоговых льгот по местным налогам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sz w:val="12"/>
                <w:szCs w:val="12"/>
              </w:rPr>
            </w:pPr>
            <w:r w:rsidRPr="006E0449">
              <w:rPr>
                <w:i/>
                <w:iCs/>
                <w:sz w:val="12"/>
                <w:szCs w:val="12"/>
              </w:rPr>
              <w:t>наличие плана мероприятий по отмене налоговых льгот по местным налогам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 / нет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да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4.2.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Координация работы органов местного самоуправления области по обеспечению государственной регистрации прав собственности граждан на недвижимое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зарегистрированных объектов недвижимого имущества  (строений, помещений и сооружений)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дополнительного начисления налога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зарегистрированных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дополнительного начисления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дополнительному поступлению неналоговых доходов: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1 046,0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1 046,0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396,0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396,0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395,5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395,5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5.1.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Принятие мер, направленных на повышение эффективности работы муниципальных унитарных предприятий,  хозяйственных обществ, акции (доли) которых находятся в муниципальной собственности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муниципальных унитарных предприятий и  хозяйственных обществ, акции (доли) которых находятся 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прирост доходов от перечисления в бюджет части прибыли муниципальных унитарных предприятий и доходов от долей собственности в коммерческих предприятиях (к аналогичному периоду прошлого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5.2.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 xml:space="preserve">Проведение </w:t>
            </w:r>
            <w:proofErr w:type="spellStart"/>
            <w:r w:rsidRPr="006E0449">
              <w:rPr>
                <w:color w:val="000000"/>
                <w:sz w:val="12"/>
                <w:szCs w:val="12"/>
              </w:rPr>
              <w:t>претензионно-исковой</w:t>
            </w:r>
            <w:proofErr w:type="spellEnd"/>
            <w:r w:rsidRPr="006E0449">
              <w:rPr>
                <w:color w:val="000000"/>
                <w:sz w:val="12"/>
                <w:szCs w:val="12"/>
              </w:rPr>
              <w:t xml:space="preserve"> работы по взысканию задолженности по арендной плате и пени в отношении арендаторов имущества и земельных участков, находящегося в государственной и муниципальной собственности, имеющих задолженность по арендной плате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предъявленных претензий, судебных исков к арендаторам имущества и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 xml:space="preserve">сумма поступлений неналоговых доходов от проведения </w:t>
            </w:r>
            <w:proofErr w:type="spellStart"/>
            <w:r w:rsidRPr="006E0449">
              <w:rPr>
                <w:i/>
                <w:iCs/>
                <w:color w:val="000000"/>
                <w:sz w:val="12"/>
                <w:szCs w:val="12"/>
              </w:rPr>
              <w:t>претензионно-исковой</w:t>
            </w:r>
            <w:proofErr w:type="spellEnd"/>
            <w:r w:rsidRPr="006E0449">
              <w:rPr>
                <w:i/>
                <w:iCs/>
                <w:color w:val="000000"/>
                <w:sz w:val="12"/>
                <w:szCs w:val="12"/>
              </w:rPr>
              <w:t xml:space="preserve"> работы по взысканию задолженности по аренде земельных участков и имущества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330,0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330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5.3.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Принятие мер, направленных на повышение эффективности работы по выполнению Прогнозного плана приватизации муниципального имущества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Прогнозных планов приватизации муниципального имущества, принятых районом (городскими округами) и поселениями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sz w:val="12"/>
                <w:szCs w:val="12"/>
              </w:rPr>
            </w:pPr>
            <w:r w:rsidRPr="006E0449">
              <w:rPr>
                <w:i/>
                <w:iCs/>
                <w:sz w:val="12"/>
                <w:szCs w:val="12"/>
              </w:rPr>
              <w:t xml:space="preserve">поступление доходов от приватизации </w:t>
            </w:r>
            <w:proofErr w:type="gramStart"/>
            <w:r w:rsidRPr="006E0449">
              <w:rPr>
                <w:i/>
                <w:iCs/>
                <w:sz w:val="12"/>
                <w:szCs w:val="12"/>
              </w:rPr>
              <w:t>муниципального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491,0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491,0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5.4.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 xml:space="preserve">Координация деятельности органов местного самоуправления области по усилению муниципального земельного контроля по соблюдению землепользователями норм земельного законодательства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 xml:space="preserve">количество проверок, выявивших нарушения норм земельного законодательства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11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поступлений земельного налога в результате усиления муниципального земельного контроля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5,5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поступлений денежных взысканий (штрафов) за нарушение земельного законодательства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20,0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5.5.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Проведение работы по выявлению рекламных конструкций, установленных на территории муниципального образования без действующего разрешения на установку и эксплуатацию рекламной конструкции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рекламных конструкций, установленных без разрешения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сумма поступлений денежных взысканий (штрафов) за установку рекламных конструкций без разрешения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5.6.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Повышение уровня собираемости штрафов, поступающих в местный бюджет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прирост доходов от штрафов к аналогичному периоду прошлого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6.</w:t>
            </w:r>
          </w:p>
        </w:tc>
        <w:tc>
          <w:tcPr>
            <w:tcW w:w="4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Обеспечение мониторинга налоговых поступлений от федеральных торговых сетей и их подразделений, в целях недопущения снижения налоговых  платежей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ежегодный прирост налоговых поступлений от федеральных торговых сетей (НДФЛ, УСН, земельный налог)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80,0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100,0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7.</w:t>
            </w:r>
          </w:p>
        </w:tc>
        <w:tc>
          <w:tcPr>
            <w:tcW w:w="40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Проведение мероприятий по формированию благоприятного инвестиционного климата в муниципальных образованиях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количество вновь созданных рабочих 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42</w:t>
            </w:r>
          </w:p>
        </w:tc>
      </w:tr>
      <w:tr w:rsidR="006E0449" w:rsidRPr="006E0449" w:rsidTr="006E0449">
        <w:trPr>
          <w:cantSplit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4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449" w:rsidRPr="006E0449" w:rsidRDefault="006E0449" w:rsidP="006E044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6E0449">
              <w:rPr>
                <w:i/>
                <w:iCs/>
                <w:color w:val="000000"/>
                <w:sz w:val="12"/>
                <w:szCs w:val="12"/>
              </w:rPr>
              <w:t>дополнительное поступление доходов от создания новых рабочих мест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575,0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600,0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595,0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color w:val="000000"/>
                <w:sz w:val="12"/>
                <w:szCs w:val="12"/>
              </w:rPr>
            </w:pPr>
            <w:r w:rsidRPr="006E0449">
              <w:rPr>
                <w:color w:val="000000"/>
                <w:sz w:val="12"/>
                <w:szCs w:val="12"/>
              </w:rPr>
              <w:t>595,0</w:t>
            </w:r>
          </w:p>
        </w:tc>
      </w:tr>
      <w:tr w:rsidR="006E0449" w:rsidRPr="006E0449" w:rsidTr="006E0449">
        <w:trPr>
          <w:cantSplit/>
        </w:trPr>
        <w:tc>
          <w:tcPr>
            <w:tcW w:w="7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Итого бюджетный эффект от мероприятий по росту доходного потенциала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тыс</w:t>
            </w:r>
            <w:proofErr w:type="gramStart"/>
            <w:r w:rsidRPr="006E0449">
              <w:rPr>
                <w:b/>
                <w:bCs/>
                <w:color w:val="000000"/>
                <w:sz w:val="12"/>
                <w:szCs w:val="12"/>
              </w:rPr>
              <w:t>.р</w:t>
            </w:r>
            <w:proofErr w:type="gramEnd"/>
            <w:r w:rsidRPr="006E0449">
              <w:rPr>
                <w:b/>
                <w:bCs/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14 127,0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11 852,0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13 493,0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11 213,0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13 641,5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E0449" w:rsidRPr="006E0449" w:rsidRDefault="006E0449" w:rsidP="006E0449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6E0449">
              <w:rPr>
                <w:b/>
                <w:bCs/>
                <w:color w:val="000000"/>
                <w:sz w:val="12"/>
                <w:szCs w:val="12"/>
              </w:rPr>
              <w:t>11 456,5</w:t>
            </w:r>
          </w:p>
        </w:tc>
      </w:tr>
    </w:tbl>
    <w:p w:rsidR="006E0449" w:rsidRDefault="006E0449" w:rsidP="006E0449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3F1748" w:rsidRDefault="003F1748"/>
    <w:sectPr w:rsidR="003F1748" w:rsidSect="00525636">
      <w:pgSz w:w="16838" w:h="11906" w:orient="landscape"/>
      <w:pgMar w:top="851" w:right="1134" w:bottom="851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E0449"/>
    <w:rsid w:val="003F1748"/>
    <w:rsid w:val="00442221"/>
    <w:rsid w:val="00525636"/>
    <w:rsid w:val="005E68AA"/>
    <w:rsid w:val="006E0449"/>
    <w:rsid w:val="00D50809"/>
    <w:rsid w:val="00D9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4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1815</Words>
  <Characters>10350</Characters>
  <Application>Microsoft Office Word</Application>
  <DocSecurity>0</DocSecurity>
  <Lines>86</Lines>
  <Paragraphs>24</Paragraphs>
  <ScaleCrop>false</ScaleCrop>
  <Company>Reanimator Extreme Edition</Company>
  <LinksUpToDate>false</LinksUpToDate>
  <CharactersWithSpaces>12141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2021-04-30T12:12:00Z</dcterms:created>
  <dcterms:modified xsi:type="dcterms:W3CDTF">2021-04-30T12:21:00Z</dcterms:modified>
</cp:coreProperties>
</file>