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A6" w:rsidRPr="002A68A6" w:rsidRDefault="002A68A6" w:rsidP="002A68A6">
      <w:pPr>
        <w:jc w:val="center"/>
        <w:rPr>
          <w:b/>
          <w:sz w:val="26"/>
          <w:szCs w:val="26"/>
        </w:rPr>
      </w:pPr>
      <w:r w:rsidRPr="002A68A6">
        <w:rPr>
          <w:noProof/>
          <w:sz w:val="26"/>
          <w:szCs w:val="26"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8A6" w:rsidRPr="002A68A6" w:rsidRDefault="002A68A6" w:rsidP="002A68A6">
      <w:pPr>
        <w:jc w:val="center"/>
        <w:rPr>
          <w:sz w:val="26"/>
          <w:szCs w:val="26"/>
        </w:rPr>
      </w:pPr>
    </w:p>
    <w:p w:rsidR="002A68A6" w:rsidRPr="002A68A6" w:rsidRDefault="002A68A6" w:rsidP="002A68A6">
      <w:pPr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 xml:space="preserve">АДМИНИСТРАЦИЯ УСТЬ-КУБИНСКОГО </w:t>
      </w:r>
    </w:p>
    <w:p w:rsidR="002A68A6" w:rsidRPr="002A68A6" w:rsidRDefault="002A68A6" w:rsidP="002A68A6">
      <w:pPr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МУНИЦИПАЛЬНОГО РАЙОНА</w:t>
      </w:r>
    </w:p>
    <w:p w:rsidR="002A68A6" w:rsidRPr="002A68A6" w:rsidRDefault="002A68A6" w:rsidP="002A68A6">
      <w:pPr>
        <w:jc w:val="center"/>
        <w:rPr>
          <w:b/>
          <w:sz w:val="26"/>
          <w:szCs w:val="26"/>
        </w:rPr>
      </w:pPr>
    </w:p>
    <w:p w:rsidR="002A68A6" w:rsidRPr="002A68A6" w:rsidRDefault="002A68A6" w:rsidP="002A68A6">
      <w:pPr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ПОСТАНОВЛЕНИЕ</w:t>
      </w:r>
    </w:p>
    <w:p w:rsidR="002A68A6" w:rsidRPr="002A68A6" w:rsidRDefault="002A68A6" w:rsidP="002A68A6">
      <w:pPr>
        <w:jc w:val="both"/>
        <w:rPr>
          <w:sz w:val="26"/>
          <w:szCs w:val="26"/>
        </w:rPr>
      </w:pPr>
    </w:p>
    <w:p w:rsidR="002A68A6" w:rsidRPr="002A68A6" w:rsidRDefault="002A68A6" w:rsidP="002A68A6">
      <w:pPr>
        <w:jc w:val="center"/>
        <w:rPr>
          <w:sz w:val="26"/>
          <w:szCs w:val="26"/>
        </w:rPr>
      </w:pPr>
      <w:r w:rsidRPr="002A68A6">
        <w:rPr>
          <w:sz w:val="26"/>
          <w:szCs w:val="26"/>
        </w:rPr>
        <w:t>с. Устье</w:t>
      </w:r>
    </w:p>
    <w:p w:rsidR="002A68A6" w:rsidRPr="002A68A6" w:rsidRDefault="002A68A6" w:rsidP="002A68A6">
      <w:pPr>
        <w:jc w:val="center"/>
        <w:rPr>
          <w:sz w:val="26"/>
          <w:szCs w:val="26"/>
        </w:rPr>
      </w:pPr>
    </w:p>
    <w:p w:rsidR="002A68A6" w:rsidRPr="002A68A6" w:rsidRDefault="002A68A6" w:rsidP="002A68A6">
      <w:pPr>
        <w:tabs>
          <w:tab w:val="left" w:pos="7088"/>
        </w:tabs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от </w:t>
      </w:r>
      <w:r>
        <w:rPr>
          <w:sz w:val="26"/>
          <w:szCs w:val="26"/>
        </w:rPr>
        <w:t>29.04.2019                                                                                              № 402</w:t>
      </w:r>
      <w:r w:rsidRPr="002A68A6">
        <w:rPr>
          <w:sz w:val="26"/>
          <w:szCs w:val="26"/>
        </w:rPr>
        <w:tab/>
      </w:r>
    </w:p>
    <w:p w:rsidR="002A68A6" w:rsidRPr="002A68A6" w:rsidRDefault="002A68A6" w:rsidP="002A68A6">
      <w:pPr>
        <w:rPr>
          <w:sz w:val="26"/>
          <w:szCs w:val="26"/>
        </w:rPr>
      </w:pPr>
    </w:p>
    <w:p w:rsidR="002A68A6" w:rsidRPr="002A68A6" w:rsidRDefault="002A68A6" w:rsidP="002A68A6">
      <w:pPr>
        <w:pStyle w:val="a3"/>
        <w:ind w:right="-1" w:firstLine="0"/>
        <w:jc w:val="center"/>
        <w:rPr>
          <w:sz w:val="26"/>
          <w:szCs w:val="26"/>
        </w:rPr>
      </w:pPr>
      <w:r w:rsidRPr="002A68A6">
        <w:rPr>
          <w:sz w:val="26"/>
          <w:szCs w:val="26"/>
        </w:rPr>
        <w:t>Об организации системы внутреннего обеспечения соответствия требованиям антимонопольного законодательства в администрации района</w:t>
      </w:r>
    </w:p>
    <w:p w:rsidR="002A68A6" w:rsidRPr="002A68A6" w:rsidRDefault="002A68A6" w:rsidP="002A68A6">
      <w:pPr>
        <w:pStyle w:val="a3"/>
        <w:ind w:right="-1" w:firstLine="0"/>
        <w:jc w:val="center"/>
        <w:rPr>
          <w:sz w:val="26"/>
          <w:szCs w:val="26"/>
        </w:rPr>
      </w:pPr>
    </w:p>
    <w:p w:rsidR="002A68A6" w:rsidRPr="002A68A6" w:rsidRDefault="002A68A6" w:rsidP="002A68A6">
      <w:pPr>
        <w:pStyle w:val="a3"/>
        <w:ind w:right="-1" w:firstLine="0"/>
        <w:jc w:val="center"/>
        <w:rPr>
          <w:sz w:val="26"/>
          <w:szCs w:val="26"/>
        </w:rPr>
      </w:pPr>
    </w:p>
    <w:p w:rsidR="002A68A6" w:rsidRPr="002A68A6" w:rsidRDefault="002A68A6" w:rsidP="002A68A6">
      <w:pPr>
        <w:pStyle w:val="a3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>В соответствии с Указом Президента Российской Федерации от 21 декабря 2017 года № 618 «Об основных направлениях государственной политики по развитию конкуренции», распоряжением Правительства Российской Федерации от 18 октября 2018 года №</w:t>
      </w:r>
      <w:r w:rsidRPr="002A68A6">
        <w:rPr>
          <w:sz w:val="26"/>
          <w:szCs w:val="26"/>
          <w:lang w:eastAsia="en-US" w:bidi="en-US"/>
        </w:rPr>
        <w:t xml:space="preserve"> </w:t>
      </w:r>
      <w:r w:rsidRPr="002A68A6">
        <w:rPr>
          <w:sz w:val="26"/>
          <w:szCs w:val="26"/>
        </w:rPr>
        <w:t>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ст. 43 Устава района администрация района</w:t>
      </w:r>
    </w:p>
    <w:p w:rsidR="002A68A6" w:rsidRPr="002A68A6" w:rsidRDefault="002A68A6" w:rsidP="002A68A6">
      <w:pPr>
        <w:pStyle w:val="a3"/>
        <w:ind w:firstLine="0"/>
        <w:jc w:val="both"/>
        <w:rPr>
          <w:sz w:val="26"/>
          <w:szCs w:val="26"/>
        </w:rPr>
      </w:pPr>
      <w:r w:rsidRPr="002A68A6">
        <w:rPr>
          <w:b/>
          <w:sz w:val="26"/>
          <w:szCs w:val="26"/>
        </w:rPr>
        <w:t>ПОСТАНОВЛЯЕТ</w:t>
      </w:r>
      <w:r w:rsidRPr="002A68A6">
        <w:rPr>
          <w:sz w:val="26"/>
          <w:szCs w:val="26"/>
        </w:rPr>
        <w:t>:</w:t>
      </w:r>
    </w:p>
    <w:p w:rsidR="002A68A6" w:rsidRPr="002A68A6" w:rsidRDefault="002A68A6" w:rsidP="002A68A6">
      <w:pPr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>1. Создать в администрации Усть-Кубинского муниципального района систему внутреннего обеспечения соответствия требованиям антимонопольного законодательства (антимонопольный комплаенс) в соответствии с Положением об организации системы внутреннего обеспечения соответствия требованиям антимонопольного законодательства согласно приложению к настоящему постановлению.</w:t>
      </w:r>
    </w:p>
    <w:p w:rsidR="002A68A6" w:rsidRPr="002A68A6" w:rsidRDefault="002A68A6" w:rsidP="002A68A6">
      <w:pPr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>2. Руководителям органов, структурных подразделений администрации района обеспечить ознакомление сотрудников с настоящим постановлением.</w:t>
      </w:r>
    </w:p>
    <w:p w:rsidR="002A68A6" w:rsidRPr="002A68A6" w:rsidRDefault="002A68A6" w:rsidP="002A68A6">
      <w:pPr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>3. Настоящее постановление вступает в силу со дня его подписания.</w:t>
      </w:r>
    </w:p>
    <w:p w:rsidR="002A68A6" w:rsidRPr="002A68A6" w:rsidRDefault="002A68A6" w:rsidP="002A68A6">
      <w:pPr>
        <w:pStyle w:val="a3"/>
        <w:ind w:firstLine="709"/>
        <w:jc w:val="both"/>
        <w:rPr>
          <w:sz w:val="26"/>
          <w:szCs w:val="26"/>
        </w:rPr>
      </w:pPr>
    </w:p>
    <w:p w:rsidR="002A68A6" w:rsidRPr="002A68A6" w:rsidRDefault="002A68A6" w:rsidP="002A68A6">
      <w:pPr>
        <w:pStyle w:val="a3"/>
        <w:ind w:firstLine="709"/>
        <w:jc w:val="both"/>
        <w:rPr>
          <w:sz w:val="26"/>
          <w:szCs w:val="26"/>
        </w:rPr>
      </w:pPr>
    </w:p>
    <w:p w:rsidR="002A68A6" w:rsidRPr="002A68A6" w:rsidRDefault="002A68A6" w:rsidP="002A68A6">
      <w:pPr>
        <w:pStyle w:val="a3"/>
        <w:ind w:firstLine="709"/>
        <w:jc w:val="both"/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A68A6" w:rsidTr="002A68A6">
        <w:tc>
          <w:tcPr>
            <w:tcW w:w="4785" w:type="dxa"/>
          </w:tcPr>
          <w:p w:rsidR="002A68A6" w:rsidRDefault="002A68A6" w:rsidP="002A68A6">
            <w:pPr>
              <w:pStyle w:val="a5"/>
              <w:tabs>
                <w:tab w:val="left" w:pos="7371"/>
              </w:tabs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2A68A6" w:rsidRDefault="002A68A6" w:rsidP="002A68A6">
            <w:pPr>
              <w:pStyle w:val="a5"/>
              <w:tabs>
                <w:tab w:val="left" w:pos="7371"/>
              </w:tabs>
              <w:spacing w:after="0"/>
              <w:jc w:val="both"/>
              <w:rPr>
                <w:sz w:val="26"/>
                <w:szCs w:val="26"/>
              </w:rPr>
            </w:pPr>
          </w:p>
          <w:p w:rsidR="002A68A6" w:rsidRDefault="002A68A6" w:rsidP="002A68A6">
            <w:pPr>
              <w:pStyle w:val="a5"/>
              <w:tabs>
                <w:tab w:val="left" w:pos="7371"/>
              </w:tabs>
              <w:spacing w:after="0"/>
              <w:jc w:val="both"/>
              <w:rPr>
                <w:sz w:val="26"/>
                <w:szCs w:val="26"/>
              </w:rPr>
            </w:pPr>
          </w:p>
          <w:p w:rsidR="002A68A6" w:rsidRDefault="002A68A6" w:rsidP="002A68A6">
            <w:pPr>
              <w:pStyle w:val="a5"/>
              <w:tabs>
                <w:tab w:val="left" w:pos="7371"/>
              </w:tabs>
              <w:spacing w:after="0"/>
              <w:jc w:val="both"/>
              <w:rPr>
                <w:sz w:val="26"/>
                <w:szCs w:val="26"/>
              </w:rPr>
            </w:pPr>
          </w:p>
          <w:p w:rsidR="002A68A6" w:rsidRDefault="002A68A6" w:rsidP="002A68A6">
            <w:pPr>
              <w:pStyle w:val="a5"/>
              <w:tabs>
                <w:tab w:val="left" w:pos="7371"/>
              </w:tabs>
              <w:spacing w:after="0"/>
              <w:jc w:val="both"/>
              <w:rPr>
                <w:sz w:val="26"/>
                <w:szCs w:val="26"/>
              </w:rPr>
            </w:pPr>
          </w:p>
          <w:p w:rsidR="002A68A6" w:rsidRDefault="002A68A6" w:rsidP="002A68A6">
            <w:pPr>
              <w:pStyle w:val="a5"/>
              <w:tabs>
                <w:tab w:val="left" w:pos="7371"/>
              </w:tabs>
              <w:spacing w:after="0"/>
              <w:jc w:val="both"/>
              <w:rPr>
                <w:sz w:val="26"/>
                <w:szCs w:val="26"/>
              </w:rPr>
            </w:pPr>
          </w:p>
          <w:p w:rsidR="002A68A6" w:rsidRDefault="002A68A6" w:rsidP="002A68A6">
            <w:pPr>
              <w:pStyle w:val="a5"/>
              <w:tabs>
                <w:tab w:val="left" w:pos="7371"/>
              </w:tabs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2A68A6" w:rsidRPr="002A68A6" w:rsidRDefault="002A68A6" w:rsidP="002A68A6">
      <w:pPr>
        <w:pStyle w:val="a5"/>
        <w:tabs>
          <w:tab w:val="left" w:pos="7371"/>
        </w:tabs>
        <w:spacing w:after="0"/>
        <w:jc w:val="both"/>
        <w:rPr>
          <w:sz w:val="26"/>
          <w:szCs w:val="26"/>
        </w:rPr>
      </w:pPr>
    </w:p>
    <w:p w:rsidR="002A68A6" w:rsidRPr="002A68A6" w:rsidRDefault="002A68A6" w:rsidP="002A68A6">
      <w:pPr>
        <w:pStyle w:val="a5"/>
        <w:tabs>
          <w:tab w:val="left" w:pos="7371"/>
        </w:tabs>
        <w:spacing w:after="0"/>
        <w:ind w:firstLine="709"/>
        <w:jc w:val="both"/>
        <w:rPr>
          <w:sz w:val="26"/>
          <w:szCs w:val="26"/>
        </w:rPr>
      </w:pPr>
    </w:p>
    <w:p w:rsidR="002A68A6" w:rsidRPr="002A68A6" w:rsidRDefault="002A68A6" w:rsidP="002A68A6">
      <w:pPr>
        <w:pStyle w:val="a5"/>
        <w:tabs>
          <w:tab w:val="left" w:pos="7371"/>
        </w:tabs>
        <w:spacing w:after="0"/>
        <w:ind w:firstLine="709"/>
        <w:jc w:val="both"/>
        <w:rPr>
          <w:sz w:val="26"/>
          <w:szCs w:val="26"/>
        </w:rPr>
      </w:pPr>
    </w:p>
    <w:p w:rsidR="002A68A6" w:rsidRPr="002A68A6" w:rsidRDefault="002A68A6" w:rsidP="002A68A6">
      <w:pPr>
        <w:ind w:firstLine="709"/>
        <w:jc w:val="both"/>
        <w:rPr>
          <w:sz w:val="26"/>
          <w:szCs w:val="26"/>
        </w:rPr>
        <w:sectPr w:rsidR="002A68A6" w:rsidRPr="002A68A6" w:rsidSect="0012536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68A6" w:rsidRPr="002A68A6" w:rsidRDefault="002A68A6" w:rsidP="002A68A6">
      <w:pPr>
        <w:ind w:left="6237"/>
        <w:jc w:val="both"/>
        <w:rPr>
          <w:sz w:val="26"/>
          <w:szCs w:val="26"/>
        </w:rPr>
      </w:pPr>
      <w:r w:rsidRPr="002A68A6">
        <w:rPr>
          <w:sz w:val="26"/>
          <w:szCs w:val="26"/>
        </w:rPr>
        <w:lastRenderedPageBreak/>
        <w:t>Утверждено постановлением администр</w:t>
      </w:r>
      <w:r>
        <w:rPr>
          <w:sz w:val="26"/>
          <w:szCs w:val="26"/>
        </w:rPr>
        <w:t>ации района от 29.04.2019 № 402</w:t>
      </w:r>
    </w:p>
    <w:p w:rsidR="002A68A6" w:rsidRPr="002A68A6" w:rsidRDefault="002A68A6" w:rsidP="002A68A6">
      <w:pPr>
        <w:ind w:left="6237"/>
        <w:jc w:val="both"/>
        <w:rPr>
          <w:sz w:val="26"/>
          <w:szCs w:val="26"/>
        </w:rPr>
      </w:pPr>
      <w:r w:rsidRPr="002A68A6">
        <w:rPr>
          <w:sz w:val="26"/>
          <w:szCs w:val="26"/>
        </w:rPr>
        <w:t>(приложение)</w:t>
      </w:r>
    </w:p>
    <w:p w:rsidR="002A68A6" w:rsidRPr="002A68A6" w:rsidRDefault="002A68A6" w:rsidP="002A68A6">
      <w:pPr>
        <w:ind w:firstLine="709"/>
        <w:jc w:val="both"/>
        <w:rPr>
          <w:sz w:val="26"/>
          <w:szCs w:val="26"/>
        </w:rPr>
      </w:pPr>
    </w:p>
    <w:p w:rsidR="002A68A6" w:rsidRPr="002A68A6" w:rsidRDefault="002A68A6" w:rsidP="002A68A6">
      <w:pPr>
        <w:ind w:firstLine="709"/>
        <w:jc w:val="both"/>
        <w:rPr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sz w:val="26"/>
          <w:szCs w:val="26"/>
        </w:rPr>
      </w:pPr>
      <w:r w:rsidRPr="002A68A6">
        <w:rPr>
          <w:sz w:val="26"/>
          <w:szCs w:val="26"/>
        </w:rPr>
        <w:t>ПОЛОЖЕНИЕ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sz w:val="26"/>
          <w:szCs w:val="26"/>
        </w:rPr>
      </w:pPr>
      <w:r w:rsidRPr="002A68A6">
        <w:rPr>
          <w:sz w:val="26"/>
          <w:szCs w:val="26"/>
        </w:rPr>
        <w:t>об организации системы внутреннего обеспечения соответствия требованиям антимонопольного законодательства (антимонопольный комплаенс)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1. Общие положения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1.1. Настоящее Положение об организации системы внутреннего обеспечения соответствия требованиям антимонопольного законодательства в администрации Усть-Кубинского муниципального района (далее - антимонопольный комплаенс администрации района) разработано в целях обеспечения соответствия деятельности администрации требованиям антимонопольного законодательства и профилактики нарушений требований антимонопольного законодательства в деятельности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1.2. Термины и понятия, используемые в настоящем Положении, применяются в значениях, определенных антимонопольным законодательством Российской Федерации, в том числе распоряжением Правительства Российской Федерации от 18 октября 2018 года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и иными нормативными правовыми актами о защите конкуренции.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1.3. Целями антимонопольного комплаенса администрации района являются: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а) обеспечение соответствия деятельности администрации района требованиям антимонопольного законодательства;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б) профилактика нарушения требований антимонопольного законодательства в деятельности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1.4. Задачами антимонопольного комплаенса администрации района являются: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выявление рисков нарушений антимонопольного законодательства (далее - комплаенс-риски);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управление комплаенс-рисками;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контроль за соответствием деятельности администрации района требованиям антимонопольного законодательства;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оценка эффективности организации антимонопольного комплаенса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1.5. При организации антимонопольного комплаенса администрация района руководствуется следующими принципами: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заинтересованность руководства администрации района в эффективности функционирования антимонопольного комплаенса;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регулярность оценки комплаенс-рисков;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обеспечение информационной открытости функционирования в администрации района антимонопольного комплаенса;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непрерывность функционирования антимонопольного комплаенса в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совершенствование антимонопольного комплаенса.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2. Организация антимонопольного комплаенса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2.1. Общий контроль организации антимонопольного комплаенса и обеспечения его функционирования осуществляется руководителем администрации района, который: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применяет предусмотренные законодательством Российской Федерации меры ответственности за нарушение муниципальными служащими и работниками администрации района правил антимонопольного комплаенса;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рассматривает материалы, отчеты и результаты периодических оценок эффективности функционирования антимонопольного комплаенса и принимает меры, направленные на устранение выявленных недостатков;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осуществляет контроль за устранением выявленных недостатков антимонопольного комплаенса.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2.2. Функции уполномоченного подразделения, связанные с организацией и функционированием антимонопольного комплаенса возлагаются на Рабочую группу, состав которой утверждается руководителем администрации района (далее - уполномоченное подразделение). С целью реализации своих полномочий Уполномоченное подразделение действует совместно с юридическим отделом, управляющим делами администрации района, отделом развития муниципальных образований администрации района (далее - Соисполнители). Полномочия указанных органов, структурных подразделений администрации района установлены настоящим положением. Полномочия, связанные со своевременным размещением предусмотренных настоящим положением документов и информации, возлагаются отдел информационных технологий и защиты информации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2.3. Функции коллегиального органа, осуществляющего оценку эффективности организации и функционирования антимонопольного комплаенса в администрации района возлагаются на Комиссию по оценке эффективности функционирования антимонопольного комплаенса (далее - Комиссия), состав которой утверждается руководителем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2.4. К компетенции уполномоченного органа относится: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выявление 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вероятности возникновения рисков нарушения антимонопольного законодательства (осуществляется совместно с соисполнителями).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организация взаимодействия с другими структурными подразделениями администрации по вопросам, связанным с антимонопольным комплаенсом (осуществляется совместно с соисполнителями);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разработка процедуры внутреннего расследования, связанного с функционированием антимонопольного комплаенса (осуществляется совместно с соисполнителями);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организация внутренних расследований, связанных с функционированием антимонопольного комплаенса, и участие в них (осуществляется совместно с соисполнителями);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взаимодействие с антимонопольным органом и организация содействия ему в части, касающейся вопросов, связанных с проводимыми проверками (осуществляется совместно с соисполнителями);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консультирование муниципальных служащих администрации района по вопросам, связанным с соблюдением антимонопольного законодательства и антимонопольным комплаенсом (осуществляется совместно с соисполнителями);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выявление конфликта интересов в деятельности муниципальных служащих и органов, структурных подразделений администрации разработка предложений по их исключению (осуществляется управляющим делами администрации района);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информирование руководителя администрации района о внутренних документах, которые могут повлечь нарушение антимонопольного законодательства (осуществляется совместно с юридическим отделом администрации района);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иные функции, связанные с функционированием антимонопольного комплаенса.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2.5. К функциям коллегиального органа относятся: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рассмотрение и оценка плана мероприятий по снижению комплаенс-рисков администрации в части, касающейся функционирования антимонопольного комплаенса;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рассмотрение и утверждение доклада об антимонопольном комплаенсе.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3. Выявление и оценка комплаенс-рисков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3.1. В целях выявления рисков нарушения антимонопольного законодательства Уполномоченным подразделением совместно с соисполнителями на регулярной основе проводятся: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а) анализ выявленных нарушений антимонопольного законодательства в деятельности администрации за предыдущие 3 года (наличие предостережений, предупреждений, штрафов, жалоб, возбужденных дел) - выполняется совместно с юридическим отделом и отделом развития муниципальных образований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б) анализ нормативных правовых актов администрации, регулирующих правоотношения входящие в сферу функционирования антимонопольного комплаенса - выполняется совместно юридическим отделом и отделом развития муниципальных образований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в) анализ проектов нормативных правовых актов администрации района, регулирующих правоотношения входящие в сферу функционирования антимонопольного комплаенса - выполняется совместно юридическим отделом и отделом развития муниципальных образований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г) мониторинг и анализ практики применения администрацией района антимонопольного законодательства - выполняется совместно юридическим отделом и отделом развития муниципальных образований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д)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3.2. При проведении (не реже одного раза в год) Уполномоченным подразделением анализа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 реализовываются следующие мероприятия: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а) сбор в органах, структурных подразделениях администрации сведений о наличии нарушений антимонопольного законодательства;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б) составление перечня нарушений антимонопольного законодательства в администрации района (далее - Перечень нарушений), который содержит классифицированные по сферам деятельности администрации района о выявленных за последние 3 года нарушениях антимонопольного законодательства (отдельно по каждому нарушению) и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 устранению нарушения, а также о мерах, направленных администрацией района на недопущение повторения нарушения.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Исполнителем мероприятий настоящего пункта является отдел развития муниципальных образований администрации района. Перечень нарушений подлежит согласованию с юридическим отделом администрации района, после чего предоставляется в виде справки Уполномоченному подразделению.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3.3. При проведении (не реже одного раза в год) уполномоченным подразделением анализа нормативных правовых администрации района, регулирующих правоотношения, входящие в сферу функционирования антимонопольного комплаенса, реализовываются следующие мероприятия: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а) разработка и размещение на официальном сайте администрации района в информационно-телекоммуникационной сети «Интеренет» (далее – официальный сайт) исчерпывающего перечня нормативных правовых актов администрации района, регулирующих правоотношения входящие в сферу функционирования антимонопольного комплаенса (далее - перечень актов), с приложением к перечню актов текстов таких актов, за исключением актов, содержащих сведения, относящиеся к охраняемой законом тайне;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б) размещение на официальном сайте уведомления о начале сбора замечаний и предложений организаций и граждан по перечню актов;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в) осуществление сбора и проведение анализа представленных замечаний и предложений организаций и граждан по перечню актов;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г) представление руководителю администрации района сводного доклада с обоснованием целесообразности (нецелесообразности) внесения изменений в нормативные правовые акты администрации.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Исполнителем мероприятий настоящего пункта является юридический отдел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3.4. При проведении анализа проектов нормативных правовых актов администрации района, регулирующих правоотношения, входящие в сферу функционирования антимонопольного комплаенса, уполномоченным подразделением реализовываются следующие мероприятия: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а) размещение на официальном сайте проекта нормативного правового акта администрации района с необходимым обоснованием реализации предлагаемых решений, в том числе их влияния на конкуренцию;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б) осуществление сбора и проведение оценки поступивших от организаций и граждан замечаний и предложений по проекту нормативного правового акта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Исполнителем мероприятий настоящего пункта является орган, структурное подразделение администрации района, являющееся разработчиком указанного проекта нормативного правового акта администрации района. Информация о мероприятиях включается в сводный доклад, представляемый руководителю администрации района в соответствии с подпунктом «г» пункта 4.3. настоящего Положения.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3.5. При проведении мониторинга и анализа практики применения антимонопольного законодательства в администрации Уполномоченным подразделением реализовываются следующие мероприятия: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а) осуществление на постоянной основе сбора сведений о правоприменительной практике в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б) подготовка по итогам сбора информации, предусмотренной подпунктом "а" настоящего пункта, аналитической справки об изменениях и основных аспектах правоприменительной практики в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в) проведение (не реже одного раза в год) рабочих совещаний с приглашением представителей антимонопольного органа по обсуждению результатов правоприменительной практики в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>Исполнителем мероприятий подпунктов «а», «б» является отдел развития муниципальных образований администрации района. Аналитическая справка подлежит согласованию с юридическим отделом администрации района, после чего предоставляется Уполномоченному подразделению.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3.6. При выявлении рисков нарушения антимонопольного законодательства уполномоченным подразделением должна проводиться оценка таких рисков с учетом следующих показателей (далее - Оценка рисков):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а) отрицательное влияние на отношение институтов гражданского общества к деятельности администрации района по развитию конкуренции;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б) выдача предупреждения о прекращении действий (бездействия), которые содержат признаки нарушения антимонопольного законодательства;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в) возбуждение дела о нарушении антимонопольного законодательства;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г) привлечение к административной ответственности в виде наложения штрафов на должностных лиц или в виде их дисквалификации.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3.6. Выявляемые риски нарушения антимонопольного законодательства распределяются уполномоченным органом по уровням: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Низкий уровень - отрицательное влияние на отношение институтов гражданского общества к деятельности администрации района по развитию конкуренции, вероятность выдачи предупреждения, возбуждения дела о нарушении антимонопольного законодательства, наложения штрафа отсутствует.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Незначительный уровень - вероятность выдачи администрации района предупреждения.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Существенный уровень - вероятность выдачи администрации района предупреждения и возбуждения в отношении него дела о нарушении антимонопольного законодательства.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Высокий уровень - вероятность выдачи администрации района предупреждения, возбуждения в отношении него дела о нарушении антимонопольного законодательства и привлечения его к административной ответственности (штраф, дисквалификация).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3.7. На основе проведенной оценки рисков нарушения антимонопольного законодательства уполномоченным подразделением составляется описание рисков - карта комплаенс-рисков, в которое также включается оценка причин и условий возникновения рисков.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Карта комплаенс-рисков представляется на утверждение руководителю администрации района не позднее 1 мая текущего года, после утверждения размещается на официальном сайте администрации района в информационно-телекоммуникационной сети «Интернет».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3.8. Информация о проведении выявления и оценки рисков нарушения антимонопольного законодательства включается в доклад об антимонопольном комплаенсе.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4. Порядок ознакомления муниципальных служащих и работников администрации района с настоящим Положением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4.1. При поступлении на муниципальную службу, а также при приеме на работу в администрацию района на должность, не относящуюся к муниципальной службе, гражданин Российской Федерации должен быть ознакомлен с настоящим Положением.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5. План мероприятий по снижению комплаенс-рисков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5.1. В целях снижения рисков нарушения антимонопольного законодательства Уполномоченным подразделением на основе карты комплаенс-рисков администрации разрабатывается план мероприятий по снижению комплаенс-рисков администрации (далее - План). Подготовка проекта плана осуществляется отделом развития муниципальных образований администрации района, согласовывается с юридическим отделом администрации района, после чего предоставляется Уполномоченному подразделению.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5.2. План мероприятий разрабатывается ежегодно в течение месяца с момента утверждения карты комплаенс-рисков, утверждается руководителем администрации района.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5.3. Уполномоченное подразделение на постоянной основе осуществляет мониторинг исполнения Плана. Соисполнители представляют информацию о реализации мероприятий относящихся к деятельности органа, структурного подразделения администрации района либо согласно полномочиям определенным настоящим Порядком.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5.5. Информация об утверждении и исполнении Плана включается в доклад об антимонопольном комплаенсе.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6. Ключевые показатели эффективности антимонопольного комплаенса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6.1. Установление и оценка достижения ключевых показателей эффективности антимонопольного комплаенса представляют собой часть системы внутреннего контроля, в процессе которой происходит оценка качества работы (работоспособности) системы управления комплаенс-рисками в течение отчетного периода. Под отчетным периодом понимается календарный год.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6.2. Ключевые показатели эффективности антимонопольного комплаенса устанавливаются как для администрации района в целом.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6.3. Ключевые показатели эффективности антимонопольного комплаенса представляют собой количественные характеристики работы (работоспособности) системы управления комплаенс-рисками. Такие количественные значения (параметры) могут быть выражены как в абсолютных значениях (единицы, штуки), так и в относительных значениях (проценты, коэффициенты).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6.4. Ключевые показатели эффективности антимонопольного комплаенса разрабатываются Уполномоченным подразделением и утверждаются руководителем администрации района на отчетный год ежегодно в срок не позднее 1 мая отчетного года.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6.5. Уполномоченное подразделение администрации района ежегодно проводит оценку достижения ключевых показателей эффективности антимонопольного комплаенса. Информация о достижении ключевых показателей эффективности антимонопольного комплаенса включается в доклад об антимонопольном комплаенсе.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7. Оценка эффективности антимонопольного комплаенса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7.1. Оценка эффективности организации и функционирования в администрации района антимонопольного комплаенса осуществляется коллегиальным органом по результатам рассмотрения доклада об антимонопольном комплаенсе.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7.2. При оценке эффективности организации и функционирования антимонопольного комплаенса коллегиальный орган использует материалы, содержащиеся в докладе об антимонопольном комплаенсе, а также: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карту комплаенс-рисков администрации, утвержденную руководителем 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ключевые показатели эффективности антимонопольного комплаенса, утвержденные руководителем 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>- план мероприятий по снижению комплаенс-рисков администрации района, утвержденный руководителем  администрации района.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r w:rsidRPr="002A68A6">
        <w:rPr>
          <w:b/>
          <w:sz w:val="26"/>
          <w:szCs w:val="26"/>
        </w:rPr>
        <w:t>8. Доклад об антимонопольном комплаенсе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8.1. Доклад об антимонопольном комплаенсе должен содержать следующую информацию: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 результатах проведенной оценки комплаенс-рисков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об исполнении мероприятий по снижению комплаенс-рисков администрации района;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- о достижении ключевых показателей эффективности антимонопольного комплаенса.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8.2. Подготовка доклада об антимонопольном комплаенсе осуществляется Уполномоченным органом, с учетом информации предоставленной соисполнителями. Доклад об антимонопольном комплаенсе предоставляется Уполномоченным подразделением в коллегиальный орган на утверждение (ежегодно). </w:t>
      </w:r>
    </w:p>
    <w:p w:rsidR="002A68A6" w:rsidRPr="002A68A6" w:rsidRDefault="002A68A6" w:rsidP="002A68A6">
      <w:pPr>
        <w:pStyle w:val="a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A68A6">
        <w:rPr>
          <w:sz w:val="26"/>
          <w:szCs w:val="26"/>
        </w:rPr>
        <w:t xml:space="preserve">8.3. Доклад об антимонопольном комплаенсе, утвержденный коллегиальным органом, размещается на официальном сайте администрации района в информационно-телекоммуникационной сети «Интернет» в течение месяца с момента его утверждения. </w:t>
      </w:r>
    </w:p>
    <w:sectPr w:rsidR="002A68A6" w:rsidRPr="002A68A6" w:rsidSect="000E15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8A6" w:rsidRDefault="002A68A6" w:rsidP="002A68A6">
      <w:pPr>
        <w:pStyle w:val="a5"/>
        <w:spacing w:after="0"/>
        <w:rPr>
          <w:lang w:eastAsia="en-US"/>
        </w:rPr>
      </w:pPr>
      <w:r>
        <w:separator/>
      </w:r>
    </w:p>
  </w:endnote>
  <w:endnote w:type="continuationSeparator" w:id="1">
    <w:p w:rsidR="002A68A6" w:rsidRDefault="002A68A6" w:rsidP="002A68A6">
      <w:pPr>
        <w:pStyle w:val="a5"/>
        <w:spacing w:after="0"/>
        <w:rPr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55100"/>
      <w:docPartObj>
        <w:docPartGallery w:val="Page Numbers (Bottom of Page)"/>
        <w:docPartUnique/>
      </w:docPartObj>
    </w:sdtPr>
    <w:sdtContent>
      <w:p w:rsidR="002A68A6" w:rsidRDefault="002A68A6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A68A6" w:rsidRDefault="002A68A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8A6" w:rsidRDefault="002A68A6" w:rsidP="002A68A6">
      <w:pPr>
        <w:pStyle w:val="a5"/>
        <w:spacing w:after="0"/>
        <w:rPr>
          <w:lang w:eastAsia="en-US"/>
        </w:rPr>
      </w:pPr>
      <w:r>
        <w:separator/>
      </w:r>
    </w:p>
  </w:footnote>
  <w:footnote w:type="continuationSeparator" w:id="1">
    <w:p w:rsidR="002A68A6" w:rsidRDefault="002A68A6" w:rsidP="002A68A6">
      <w:pPr>
        <w:pStyle w:val="a5"/>
        <w:spacing w:after="0"/>
        <w:rPr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A68A6"/>
    <w:rsid w:val="002A68A6"/>
    <w:rsid w:val="003F1748"/>
    <w:rsid w:val="00FA4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A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68A6"/>
    <w:pPr>
      <w:ind w:firstLine="567"/>
    </w:pPr>
    <w:rPr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A68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2A68A6"/>
    <w:pPr>
      <w:spacing w:after="120"/>
    </w:pPr>
    <w:rPr>
      <w:lang w:eastAsia="ru-RU"/>
    </w:rPr>
  </w:style>
  <w:style w:type="character" w:customStyle="1" w:styleId="a6">
    <w:name w:val="Основной текст Знак"/>
    <w:basedOn w:val="a0"/>
    <w:link w:val="a5"/>
    <w:rsid w:val="002A6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2A68A6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2A68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2A68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A68A6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A68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A68A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3067</Words>
  <Characters>17484</Characters>
  <Application>Microsoft Office Word</Application>
  <DocSecurity>0</DocSecurity>
  <Lines>145</Lines>
  <Paragraphs>41</Paragraphs>
  <ScaleCrop>false</ScaleCrop>
  <Company>Reanimator Extreme Edition</Company>
  <LinksUpToDate>false</LinksUpToDate>
  <CharactersWithSpaces>20510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2019-04-29T12:09:00Z</dcterms:created>
  <dcterms:modified xsi:type="dcterms:W3CDTF">2019-04-29T12:15:00Z</dcterms:modified>
</cp:coreProperties>
</file>