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D4" w:rsidRDefault="00E116D4" w:rsidP="00E116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D4" w:rsidRDefault="00E116D4" w:rsidP="00E116D4">
      <w:pPr>
        <w:jc w:val="right"/>
        <w:rPr>
          <w:b/>
          <w:sz w:val="26"/>
          <w:szCs w:val="26"/>
        </w:rPr>
      </w:pPr>
    </w:p>
    <w:p w:rsidR="00E116D4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116D4" w:rsidRPr="00091B36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116D4">
        <w:rPr>
          <w:b/>
          <w:sz w:val="26"/>
          <w:szCs w:val="26"/>
        </w:rPr>
        <w:t>ОКРУГА</w:t>
      </w:r>
    </w:p>
    <w:p w:rsidR="00E116D4" w:rsidRDefault="00E116D4" w:rsidP="00E116D4">
      <w:pPr>
        <w:jc w:val="center"/>
        <w:rPr>
          <w:b/>
          <w:sz w:val="26"/>
          <w:szCs w:val="26"/>
        </w:rPr>
      </w:pPr>
    </w:p>
    <w:p w:rsidR="00E116D4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16D4" w:rsidRDefault="00E116D4" w:rsidP="00E116D4">
      <w:pPr>
        <w:jc w:val="center"/>
        <w:rPr>
          <w:b/>
          <w:sz w:val="26"/>
          <w:szCs w:val="26"/>
        </w:rPr>
      </w:pPr>
    </w:p>
    <w:p w:rsidR="00E116D4" w:rsidRDefault="00E116D4" w:rsidP="00E116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116D4" w:rsidRDefault="00E116D4" w:rsidP="00E116D4">
      <w:pPr>
        <w:jc w:val="center"/>
        <w:rPr>
          <w:bCs/>
          <w:sz w:val="26"/>
          <w:szCs w:val="26"/>
        </w:rPr>
      </w:pPr>
    </w:p>
    <w:p w:rsidR="00E116D4" w:rsidRDefault="0089176C" w:rsidP="00E116D4">
      <w:pPr>
        <w:rPr>
          <w:sz w:val="26"/>
          <w:szCs w:val="26"/>
        </w:rPr>
      </w:pPr>
      <w:r>
        <w:rPr>
          <w:sz w:val="26"/>
          <w:szCs w:val="26"/>
        </w:rPr>
        <w:t>от 23.09.2024                                                                                                         № 1529</w:t>
      </w:r>
    </w:p>
    <w:p w:rsidR="0089176C" w:rsidRPr="007F7C40" w:rsidRDefault="0089176C" w:rsidP="00E116D4">
      <w:pPr>
        <w:rPr>
          <w:sz w:val="26"/>
          <w:szCs w:val="26"/>
        </w:rPr>
      </w:pPr>
    </w:p>
    <w:p w:rsidR="00E116D4" w:rsidRPr="00774CB8" w:rsidRDefault="00E116D4" w:rsidP="00E116D4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 xml:space="preserve">О внесении изменений в постановление администрации округа от 29 июня 2023 года № 1032 «Об утверждении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</w:t>
      </w:r>
    </w:p>
    <w:p w:rsidR="00E116D4" w:rsidRPr="00774CB8" w:rsidRDefault="00E116D4" w:rsidP="00E116D4">
      <w:pPr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E116D4" w:rsidRPr="00E116D4" w:rsidRDefault="00E116D4" w:rsidP="00E116D4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E116D4">
        <w:rPr>
          <w:b/>
          <w:bCs/>
          <w:sz w:val="26"/>
          <w:szCs w:val="26"/>
        </w:rPr>
        <w:t>ПОСТАНОВЛЯЕТ: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об оплате </w:t>
      </w:r>
      <w:proofErr w:type="gramStart"/>
      <w:r w:rsidRPr="00B033E1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B033E1">
        <w:rPr>
          <w:sz w:val="26"/>
          <w:szCs w:val="26"/>
        </w:rPr>
        <w:t xml:space="preserve"> в сфере культуры», утвержденное постановлением администрации округа от 29 июня 2023 года № 1032 «Об утверждении Положения об оплате труда работников муниципальных образовательных учреждений дополнительного образования детей в сфере культуры» следующие изменения: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Федерации».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1.2. Пункт 4.3 изложить в следующей редакции: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«4.3. Надбавка за стаж непрерывной работы в учреждении.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1) для педагогических работников: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4"/>
        <w:gridCol w:w="4969"/>
      </w:tblGrid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Стаж работы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Размер надбавки в процентах от должностного оклада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до 3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10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3 до 5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12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5 до 10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15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10 до 15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20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lastRenderedPageBreak/>
              <w:t>от 15 и более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30</w:t>
            </w:r>
          </w:p>
        </w:tc>
      </w:tr>
    </w:tbl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2) для иных работников: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4951"/>
      </w:tblGrid>
      <w:tr w:rsidR="00E116D4" w:rsidRPr="00B033E1" w:rsidTr="005E5667">
        <w:tc>
          <w:tcPr>
            <w:tcW w:w="4595" w:type="dxa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5044" w:type="dxa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B033E1">
              <w:rPr>
                <w:sz w:val="26"/>
                <w:szCs w:val="26"/>
              </w:rPr>
              <w:t>в</w:t>
            </w:r>
            <w:proofErr w:type="gramEnd"/>
            <w:r w:rsidRPr="00B033E1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10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15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20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30</w:t>
            </w:r>
          </w:p>
        </w:tc>
      </w:tr>
    </w:tbl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работы на педагогических должностях в учреждениях образования и иных учреждениях, предприятиях и организациях;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B033E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033E1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3E1">
        <w:rPr>
          <w:rFonts w:eastAsia="Calibri"/>
          <w:sz w:val="26"/>
          <w:szCs w:val="26"/>
        </w:rPr>
        <w:t xml:space="preserve">При исчислении стажа </w:t>
      </w:r>
      <w:r w:rsidRPr="00B033E1">
        <w:rPr>
          <w:sz w:val="26"/>
          <w:szCs w:val="26"/>
        </w:rPr>
        <w:t>непрерывной работы</w:t>
      </w:r>
      <w:r w:rsidRPr="00B033E1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3E1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установлению стажа, и отражается в трудовом договоре</w:t>
      </w:r>
      <w:proofErr w:type="gramStart"/>
      <w:r w:rsidRPr="00B033E1">
        <w:rPr>
          <w:sz w:val="26"/>
          <w:szCs w:val="26"/>
        </w:rPr>
        <w:t>.».</w:t>
      </w:r>
      <w:proofErr w:type="gramEnd"/>
    </w:p>
    <w:p w:rsidR="00E116D4" w:rsidRPr="00B033E1" w:rsidRDefault="00E116D4" w:rsidP="00E116D4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lastRenderedPageBreak/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сентября</w:t>
      </w:r>
      <w:r w:rsidRPr="00B033E1">
        <w:rPr>
          <w:sz w:val="26"/>
          <w:szCs w:val="26"/>
        </w:rPr>
        <w:t xml:space="preserve"> 2024 года.</w:t>
      </w: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176C" w:rsidRPr="003B3110" w:rsidTr="009A30E2">
        <w:tc>
          <w:tcPr>
            <w:tcW w:w="4785" w:type="dxa"/>
          </w:tcPr>
          <w:p w:rsidR="0089176C" w:rsidRPr="003B3110" w:rsidRDefault="0089176C" w:rsidP="009A30E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89176C" w:rsidRPr="003B3110" w:rsidRDefault="0089176C" w:rsidP="009A30E2">
            <w:pPr>
              <w:rPr>
                <w:sz w:val="26"/>
                <w:szCs w:val="26"/>
              </w:rPr>
            </w:pPr>
          </w:p>
          <w:p w:rsidR="0089176C" w:rsidRPr="003B3110" w:rsidRDefault="0089176C" w:rsidP="009A30E2">
            <w:pPr>
              <w:rPr>
                <w:sz w:val="26"/>
                <w:szCs w:val="26"/>
              </w:rPr>
            </w:pPr>
          </w:p>
          <w:p w:rsidR="0089176C" w:rsidRPr="003B3110" w:rsidRDefault="0089176C" w:rsidP="009A30E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E116D4" w:rsidRPr="00B033E1" w:rsidRDefault="00E116D4" w:rsidP="00E116D4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1319DD" w:rsidRDefault="001319DD" w:rsidP="00E116D4"/>
    <w:sectPr w:rsidR="001319DD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D4"/>
    <w:rsid w:val="001319DD"/>
    <w:rsid w:val="00514223"/>
    <w:rsid w:val="0089176C"/>
    <w:rsid w:val="00E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6D4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E116D4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D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116D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116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116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6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6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176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2024-09-11T06:33:00Z</dcterms:created>
  <dcterms:modified xsi:type="dcterms:W3CDTF">2024-09-23T14:26:00Z</dcterms:modified>
</cp:coreProperties>
</file>